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Lines w:val="0"/>
        <w:pageBreakBefore w:val="0"/>
        <w:kinsoku/>
        <w:wordWrap/>
        <w:overflowPunct/>
        <w:topLinePunct w:val="0"/>
        <w:autoSpaceDE/>
        <w:autoSpaceDN/>
        <w:bidi w:val="0"/>
        <w:spacing w:line="560" w:lineRule="exact"/>
        <w:jc w:val="center"/>
        <w:rPr>
          <w:rStyle w:val="17"/>
          <w:rFonts w:ascii="方正小标宋简体" w:eastAsia="方正小标宋简体"/>
          <w:b/>
          <w:sz w:val="36"/>
          <w:szCs w:val="36"/>
        </w:rPr>
      </w:pPr>
    </w:p>
    <w:p>
      <w:pPr>
        <w:keepLines w:val="0"/>
        <w:pageBreakBefore w:val="0"/>
        <w:kinsoku/>
        <w:wordWrap/>
        <w:overflowPunct/>
        <w:topLinePunct w:val="0"/>
        <w:autoSpaceDE/>
        <w:autoSpaceDN/>
        <w:bidi w:val="0"/>
        <w:spacing w:line="560" w:lineRule="exact"/>
        <w:jc w:val="center"/>
        <w:rPr>
          <w:rStyle w:val="17"/>
          <w:rFonts w:ascii="方正小标宋简体" w:eastAsia="方正小标宋简体"/>
          <w:b/>
          <w:sz w:val="36"/>
          <w:szCs w:val="36"/>
        </w:rPr>
      </w:pPr>
    </w:p>
    <w:p>
      <w:pPr>
        <w:keepLines w:val="0"/>
        <w:pageBreakBefore w:val="0"/>
        <w:kinsoku/>
        <w:wordWrap/>
        <w:overflowPunct/>
        <w:topLinePunct w:val="0"/>
        <w:autoSpaceDE/>
        <w:autoSpaceDN/>
        <w:bidi w:val="0"/>
        <w:spacing w:line="560" w:lineRule="exact"/>
        <w:jc w:val="center"/>
        <w:rPr>
          <w:rStyle w:val="17"/>
          <w:rFonts w:hint="eastAsia" w:ascii="方正小标宋简体" w:eastAsia="方正小标宋简体"/>
          <w:b/>
          <w:sz w:val="44"/>
          <w:szCs w:val="44"/>
        </w:rPr>
      </w:pPr>
      <w:r>
        <w:rPr>
          <w:rStyle w:val="17"/>
          <w:rFonts w:hint="eastAsia" w:ascii="方正小标宋简体" w:eastAsia="方正小标宋简体"/>
          <w:b/>
          <w:sz w:val="44"/>
          <w:szCs w:val="44"/>
        </w:rPr>
        <w:t>汕尾市</w:t>
      </w:r>
      <w:r>
        <w:rPr>
          <w:rStyle w:val="17"/>
          <w:rFonts w:hint="eastAsia" w:ascii="方正小标宋简体" w:eastAsia="方正小标宋简体"/>
          <w:b/>
          <w:sz w:val="44"/>
          <w:szCs w:val="44"/>
          <w:lang w:eastAsia="zh-CN"/>
        </w:rPr>
        <w:t>城区</w:t>
      </w:r>
      <w:r>
        <w:rPr>
          <w:rStyle w:val="17"/>
          <w:rFonts w:hint="eastAsia" w:ascii="方正小标宋简体" w:eastAsia="方正小标宋简体"/>
          <w:b/>
          <w:sz w:val="44"/>
          <w:szCs w:val="44"/>
        </w:rPr>
        <w:t>人力资源和社会保障事业发展</w:t>
      </w:r>
    </w:p>
    <w:p>
      <w:pPr>
        <w:keepLines w:val="0"/>
        <w:pageBreakBefore w:val="0"/>
        <w:kinsoku/>
        <w:wordWrap/>
        <w:overflowPunct/>
        <w:topLinePunct w:val="0"/>
        <w:autoSpaceDE/>
        <w:autoSpaceDN/>
        <w:bidi w:val="0"/>
        <w:spacing w:line="560" w:lineRule="exact"/>
        <w:jc w:val="center"/>
        <w:rPr>
          <w:rStyle w:val="17"/>
          <w:rFonts w:ascii="方正小标宋简体" w:eastAsia="方正小标宋简体"/>
          <w:b/>
          <w:sz w:val="44"/>
          <w:szCs w:val="44"/>
        </w:rPr>
      </w:pPr>
      <w:r>
        <w:rPr>
          <w:rStyle w:val="17"/>
          <w:rFonts w:hint="eastAsia" w:ascii="方正小标宋简体" w:eastAsia="方正小标宋简体"/>
          <w:b/>
          <w:sz w:val="44"/>
          <w:szCs w:val="44"/>
        </w:rPr>
        <w:t>“十四五”规划</w:t>
      </w:r>
    </w:p>
    <w:p>
      <w:pPr>
        <w:keepLines w:val="0"/>
        <w:pageBreakBefore w:val="0"/>
        <w:kinsoku/>
        <w:wordWrap/>
        <w:overflowPunct/>
        <w:topLinePunct w:val="0"/>
        <w:autoSpaceDE/>
        <w:autoSpaceDN/>
        <w:bidi w:val="0"/>
        <w:spacing w:line="560" w:lineRule="exact"/>
        <w:jc w:val="center"/>
        <w:rPr>
          <w:rFonts w:ascii="楷体_GB2312" w:eastAsia="楷体_GB2312"/>
          <w:bCs/>
          <w:kern w:val="0"/>
          <w:sz w:val="44"/>
          <w:szCs w:val="44"/>
        </w:rPr>
      </w:pPr>
      <w:r>
        <w:rPr>
          <w:rFonts w:hint="eastAsia" w:ascii="楷体_GB2312" w:eastAsia="楷体_GB2312"/>
          <w:bCs/>
          <w:sz w:val="44"/>
          <w:szCs w:val="44"/>
        </w:rPr>
        <w:t>（初稿）</w:t>
      </w:r>
    </w:p>
    <w:p>
      <w:pPr>
        <w:keepLines w:val="0"/>
        <w:pageBreakBefore w:val="0"/>
        <w:kinsoku/>
        <w:wordWrap/>
        <w:overflowPunct/>
        <w:topLinePunct w:val="0"/>
        <w:autoSpaceDE/>
        <w:autoSpaceDN/>
        <w:bidi w:val="0"/>
        <w:spacing w:line="560" w:lineRule="exact"/>
        <w:rPr>
          <w:rStyle w:val="17"/>
          <w:rFonts w:ascii="仿宋_GB2312" w:hAnsi="仿宋" w:eastAsia="仿宋_GB2312" w:cs="仿宋"/>
          <w:bCs/>
          <w:color w:val="FF0000"/>
          <w:sz w:val="32"/>
          <w:szCs w:val="32"/>
        </w:rPr>
      </w:pPr>
    </w:p>
    <w:p>
      <w:pPr>
        <w:keepLines w:val="0"/>
        <w:pageBreakBefore w:val="0"/>
        <w:kinsoku/>
        <w:wordWrap/>
        <w:overflowPunct/>
        <w:topLinePunct w:val="0"/>
        <w:autoSpaceDE/>
        <w:autoSpaceDN/>
        <w:bidi w:val="0"/>
        <w:spacing w:line="560" w:lineRule="exact"/>
        <w:rPr>
          <w:rStyle w:val="17"/>
          <w:rFonts w:ascii="仿宋_GB2312" w:hAnsi="仿宋" w:eastAsia="仿宋_GB2312" w:cs="仿宋"/>
          <w:bCs/>
          <w:color w:val="FF0000"/>
          <w:sz w:val="32"/>
          <w:szCs w:val="32"/>
        </w:rPr>
      </w:pPr>
    </w:p>
    <w:p>
      <w:pPr>
        <w:keepLines w:val="0"/>
        <w:pageBreakBefore w:val="0"/>
        <w:kinsoku/>
        <w:wordWrap/>
        <w:overflowPunct/>
        <w:topLinePunct w:val="0"/>
        <w:autoSpaceDE/>
        <w:autoSpaceDN/>
        <w:bidi w:val="0"/>
        <w:spacing w:line="560" w:lineRule="exact"/>
        <w:rPr>
          <w:rStyle w:val="17"/>
          <w:rFonts w:ascii="仿宋_GB2312" w:hAnsi="仿宋" w:eastAsia="仿宋_GB2312" w:cs="仿宋"/>
          <w:bCs/>
          <w:color w:val="FF0000"/>
          <w:sz w:val="32"/>
          <w:szCs w:val="32"/>
        </w:rPr>
      </w:pPr>
    </w:p>
    <w:p>
      <w:pPr>
        <w:keepLines w:val="0"/>
        <w:pageBreakBefore w:val="0"/>
        <w:kinsoku/>
        <w:wordWrap/>
        <w:overflowPunct/>
        <w:topLinePunct w:val="0"/>
        <w:autoSpaceDE/>
        <w:autoSpaceDN/>
        <w:bidi w:val="0"/>
        <w:spacing w:line="560" w:lineRule="exact"/>
        <w:rPr>
          <w:rStyle w:val="17"/>
          <w:rFonts w:ascii="仿宋_GB2312" w:hAnsi="仿宋" w:eastAsia="仿宋_GB2312" w:cs="仿宋"/>
          <w:bCs/>
          <w:color w:val="FF0000"/>
          <w:sz w:val="32"/>
          <w:szCs w:val="32"/>
        </w:rPr>
      </w:pPr>
    </w:p>
    <w:p>
      <w:pPr>
        <w:keepLines w:val="0"/>
        <w:pageBreakBefore w:val="0"/>
        <w:kinsoku/>
        <w:wordWrap/>
        <w:overflowPunct/>
        <w:topLinePunct w:val="0"/>
        <w:autoSpaceDE/>
        <w:autoSpaceDN/>
        <w:bidi w:val="0"/>
        <w:spacing w:line="560" w:lineRule="exact"/>
        <w:rPr>
          <w:rStyle w:val="17"/>
          <w:rFonts w:ascii="仿宋_GB2312" w:hAnsi="仿宋" w:eastAsia="仿宋_GB2312" w:cs="仿宋"/>
          <w:bCs/>
          <w:color w:val="FF0000"/>
          <w:sz w:val="32"/>
          <w:szCs w:val="32"/>
        </w:rPr>
      </w:pPr>
    </w:p>
    <w:p>
      <w:pPr>
        <w:keepLines w:val="0"/>
        <w:pageBreakBefore w:val="0"/>
        <w:kinsoku/>
        <w:wordWrap/>
        <w:overflowPunct/>
        <w:topLinePunct w:val="0"/>
        <w:autoSpaceDE/>
        <w:autoSpaceDN/>
        <w:bidi w:val="0"/>
        <w:spacing w:line="560" w:lineRule="exact"/>
        <w:rPr>
          <w:rStyle w:val="17"/>
          <w:rFonts w:ascii="仿宋_GB2312" w:hAnsi="仿宋" w:eastAsia="仿宋_GB2312" w:cs="仿宋"/>
          <w:bCs/>
          <w:color w:val="FF0000"/>
          <w:sz w:val="32"/>
          <w:szCs w:val="32"/>
        </w:rPr>
      </w:pPr>
    </w:p>
    <w:p>
      <w:pPr>
        <w:keepLines w:val="0"/>
        <w:pageBreakBefore w:val="0"/>
        <w:kinsoku/>
        <w:wordWrap/>
        <w:overflowPunct/>
        <w:topLinePunct w:val="0"/>
        <w:autoSpaceDE/>
        <w:autoSpaceDN/>
        <w:bidi w:val="0"/>
        <w:spacing w:line="560" w:lineRule="exact"/>
        <w:rPr>
          <w:rStyle w:val="17"/>
          <w:rFonts w:ascii="仿宋_GB2312" w:hAnsi="仿宋" w:eastAsia="仿宋_GB2312" w:cs="仿宋"/>
          <w:bCs/>
          <w:color w:val="FF0000"/>
          <w:sz w:val="32"/>
          <w:szCs w:val="32"/>
        </w:rPr>
      </w:pPr>
    </w:p>
    <w:p>
      <w:pPr>
        <w:keepLines w:val="0"/>
        <w:pageBreakBefore w:val="0"/>
        <w:kinsoku/>
        <w:wordWrap/>
        <w:overflowPunct/>
        <w:topLinePunct w:val="0"/>
        <w:autoSpaceDE/>
        <w:autoSpaceDN/>
        <w:bidi w:val="0"/>
        <w:spacing w:line="560" w:lineRule="exact"/>
        <w:rPr>
          <w:rStyle w:val="17"/>
          <w:rFonts w:ascii="仿宋_GB2312" w:hAnsi="仿宋" w:eastAsia="仿宋_GB2312" w:cs="仿宋"/>
          <w:bCs/>
          <w:color w:val="FF0000"/>
          <w:sz w:val="32"/>
          <w:szCs w:val="32"/>
        </w:rPr>
      </w:pPr>
    </w:p>
    <w:p>
      <w:pPr>
        <w:keepLines w:val="0"/>
        <w:pageBreakBefore w:val="0"/>
        <w:kinsoku/>
        <w:wordWrap/>
        <w:overflowPunct/>
        <w:topLinePunct w:val="0"/>
        <w:autoSpaceDE/>
        <w:autoSpaceDN/>
        <w:bidi w:val="0"/>
        <w:spacing w:line="560" w:lineRule="exact"/>
        <w:rPr>
          <w:rStyle w:val="17"/>
          <w:rFonts w:ascii="仿宋_GB2312" w:hAnsi="仿宋" w:eastAsia="仿宋_GB2312" w:cs="仿宋"/>
          <w:bCs/>
          <w:color w:val="FF0000"/>
          <w:sz w:val="32"/>
          <w:szCs w:val="32"/>
        </w:rPr>
      </w:pPr>
    </w:p>
    <w:p>
      <w:pPr>
        <w:keepLines w:val="0"/>
        <w:pageBreakBefore w:val="0"/>
        <w:kinsoku/>
        <w:wordWrap/>
        <w:overflowPunct/>
        <w:topLinePunct w:val="0"/>
        <w:autoSpaceDE/>
        <w:autoSpaceDN/>
        <w:bidi w:val="0"/>
        <w:spacing w:line="560" w:lineRule="exact"/>
        <w:rPr>
          <w:rStyle w:val="17"/>
          <w:rFonts w:ascii="仿宋_GB2312" w:hAnsi="仿宋" w:eastAsia="仿宋_GB2312" w:cs="仿宋"/>
          <w:bCs/>
          <w:color w:val="FF0000"/>
          <w:sz w:val="32"/>
          <w:szCs w:val="32"/>
        </w:rPr>
      </w:pPr>
    </w:p>
    <w:p>
      <w:pPr>
        <w:keepLines w:val="0"/>
        <w:pageBreakBefore w:val="0"/>
        <w:kinsoku/>
        <w:wordWrap/>
        <w:overflowPunct/>
        <w:topLinePunct w:val="0"/>
        <w:autoSpaceDE/>
        <w:autoSpaceDN/>
        <w:bidi w:val="0"/>
        <w:spacing w:line="560" w:lineRule="exact"/>
        <w:rPr>
          <w:rStyle w:val="17"/>
          <w:rFonts w:ascii="仿宋_GB2312" w:hAnsi="仿宋" w:eastAsia="仿宋_GB2312" w:cs="仿宋"/>
          <w:bCs/>
          <w:color w:val="FF0000"/>
          <w:sz w:val="32"/>
          <w:szCs w:val="32"/>
        </w:rPr>
      </w:pPr>
    </w:p>
    <w:p>
      <w:pPr>
        <w:keepLines w:val="0"/>
        <w:pageBreakBefore w:val="0"/>
        <w:kinsoku/>
        <w:wordWrap/>
        <w:overflowPunct/>
        <w:topLinePunct w:val="0"/>
        <w:autoSpaceDE/>
        <w:autoSpaceDN/>
        <w:bidi w:val="0"/>
        <w:spacing w:line="560" w:lineRule="exact"/>
        <w:rPr>
          <w:rStyle w:val="17"/>
          <w:rFonts w:ascii="仿宋_GB2312" w:hAnsi="仿宋" w:eastAsia="仿宋_GB2312" w:cs="仿宋"/>
          <w:bCs/>
          <w:color w:val="FF0000"/>
          <w:sz w:val="32"/>
          <w:szCs w:val="32"/>
        </w:rPr>
      </w:pPr>
    </w:p>
    <w:p>
      <w:pPr>
        <w:keepLines w:val="0"/>
        <w:pageBreakBefore w:val="0"/>
        <w:kinsoku/>
        <w:wordWrap/>
        <w:overflowPunct/>
        <w:topLinePunct w:val="0"/>
        <w:autoSpaceDE/>
        <w:autoSpaceDN/>
        <w:bidi w:val="0"/>
        <w:spacing w:line="560" w:lineRule="exact"/>
        <w:rPr>
          <w:rStyle w:val="17"/>
          <w:rFonts w:ascii="仿宋_GB2312" w:hAnsi="仿宋" w:eastAsia="仿宋_GB2312" w:cs="仿宋"/>
          <w:bCs/>
          <w:color w:val="FF0000"/>
          <w:sz w:val="32"/>
          <w:szCs w:val="32"/>
        </w:rPr>
      </w:pPr>
    </w:p>
    <w:p>
      <w:pPr>
        <w:keepLines w:val="0"/>
        <w:pageBreakBefore w:val="0"/>
        <w:kinsoku/>
        <w:wordWrap/>
        <w:overflowPunct/>
        <w:topLinePunct w:val="0"/>
        <w:autoSpaceDE/>
        <w:autoSpaceDN/>
        <w:bidi w:val="0"/>
        <w:spacing w:line="560" w:lineRule="exact"/>
        <w:rPr>
          <w:rStyle w:val="17"/>
          <w:rFonts w:ascii="仿宋_GB2312" w:hAnsi="仿宋" w:eastAsia="仿宋_GB2312" w:cs="仿宋"/>
          <w:bCs/>
          <w:color w:val="FF0000"/>
          <w:sz w:val="32"/>
          <w:szCs w:val="32"/>
        </w:rPr>
      </w:pPr>
    </w:p>
    <w:p>
      <w:pPr>
        <w:keepLines w:val="0"/>
        <w:pageBreakBefore w:val="0"/>
        <w:kinsoku/>
        <w:wordWrap/>
        <w:overflowPunct/>
        <w:topLinePunct w:val="0"/>
        <w:autoSpaceDE/>
        <w:autoSpaceDN/>
        <w:bidi w:val="0"/>
        <w:spacing w:line="560" w:lineRule="exact"/>
        <w:rPr>
          <w:rStyle w:val="17"/>
          <w:rFonts w:ascii="仿宋_GB2312" w:hAnsi="仿宋" w:eastAsia="仿宋_GB2312" w:cs="仿宋"/>
          <w:bCs/>
          <w:color w:val="FF0000"/>
          <w:sz w:val="32"/>
          <w:szCs w:val="32"/>
        </w:rPr>
      </w:pPr>
    </w:p>
    <w:p>
      <w:pPr>
        <w:keepLines w:val="0"/>
        <w:pageBreakBefore w:val="0"/>
        <w:kinsoku/>
        <w:wordWrap/>
        <w:overflowPunct/>
        <w:topLinePunct w:val="0"/>
        <w:autoSpaceDE/>
        <w:autoSpaceDN/>
        <w:bidi w:val="0"/>
        <w:adjustRightInd w:val="0"/>
        <w:spacing w:line="560" w:lineRule="exact"/>
        <w:jc w:val="center"/>
        <w:rPr>
          <w:rFonts w:eastAsia="黑体"/>
          <w:sz w:val="36"/>
          <w:szCs w:val="36"/>
        </w:rPr>
      </w:pPr>
      <w:r>
        <w:rPr>
          <w:rFonts w:hint="eastAsia" w:eastAsia="黑体"/>
          <w:sz w:val="36"/>
          <w:szCs w:val="36"/>
        </w:rPr>
        <w:t>汕尾市</w:t>
      </w:r>
      <w:r>
        <w:rPr>
          <w:rFonts w:hint="eastAsia" w:eastAsia="黑体"/>
          <w:sz w:val="36"/>
          <w:szCs w:val="36"/>
          <w:lang w:eastAsia="zh-CN"/>
        </w:rPr>
        <w:t>城区</w:t>
      </w:r>
      <w:r>
        <w:rPr>
          <w:rFonts w:hint="eastAsia" w:eastAsia="黑体"/>
          <w:sz w:val="36"/>
          <w:szCs w:val="36"/>
        </w:rPr>
        <w:t>人力资源和社会保障局</w:t>
      </w:r>
    </w:p>
    <w:p>
      <w:pPr>
        <w:keepLines w:val="0"/>
        <w:pageBreakBefore w:val="0"/>
        <w:kinsoku/>
        <w:wordWrap/>
        <w:overflowPunct/>
        <w:topLinePunct w:val="0"/>
        <w:autoSpaceDE/>
        <w:autoSpaceDN/>
        <w:bidi w:val="0"/>
        <w:adjustRightInd w:val="0"/>
        <w:spacing w:line="560" w:lineRule="exact"/>
        <w:jc w:val="center"/>
        <w:rPr>
          <w:rFonts w:eastAsia="黑体"/>
          <w:sz w:val="36"/>
          <w:szCs w:val="36"/>
        </w:rPr>
      </w:pPr>
      <w:r>
        <w:rPr>
          <w:rFonts w:eastAsia="黑体"/>
          <w:sz w:val="36"/>
          <w:szCs w:val="36"/>
        </w:rPr>
        <w:t>二〇二</w:t>
      </w:r>
      <w:r>
        <w:rPr>
          <w:rFonts w:hint="eastAsia" w:eastAsia="黑体"/>
          <w:sz w:val="36"/>
          <w:szCs w:val="36"/>
          <w:lang w:eastAsia="zh-CN"/>
        </w:rPr>
        <w:t>二</w:t>
      </w:r>
      <w:r>
        <w:rPr>
          <w:rFonts w:eastAsia="黑体"/>
          <w:sz w:val="36"/>
          <w:szCs w:val="36"/>
        </w:rPr>
        <w:t>年</w:t>
      </w:r>
      <w:r>
        <w:rPr>
          <w:rFonts w:hint="eastAsia" w:eastAsia="黑体"/>
          <w:sz w:val="36"/>
          <w:szCs w:val="36"/>
          <w:lang w:eastAsia="zh-CN"/>
        </w:rPr>
        <w:t>三</w:t>
      </w:r>
      <w:r>
        <w:rPr>
          <w:rFonts w:eastAsia="黑体"/>
          <w:sz w:val="36"/>
          <w:szCs w:val="36"/>
        </w:rPr>
        <w:t>月</w:t>
      </w:r>
    </w:p>
    <w:p>
      <w:pPr>
        <w:keepLines w:val="0"/>
        <w:pageBreakBefore w:val="0"/>
        <w:kinsoku/>
        <w:wordWrap/>
        <w:overflowPunct/>
        <w:topLinePunct w:val="0"/>
        <w:autoSpaceDE/>
        <w:autoSpaceDN/>
        <w:bidi w:val="0"/>
        <w:spacing w:line="560" w:lineRule="exact"/>
        <w:rPr>
          <w:rFonts w:ascii="方正小标宋简体" w:eastAsia="方正小标宋简体"/>
          <w:b/>
          <w:sz w:val="44"/>
          <w:szCs w:val="44"/>
        </w:rPr>
        <w:sectPr>
          <w:footerReference r:id="rId3" w:type="default"/>
          <w:pgSz w:w="12240" w:h="15840"/>
          <w:pgMar w:top="1440" w:right="1800" w:bottom="1440" w:left="1800" w:header="720" w:footer="720" w:gutter="0"/>
          <w:pgNumType w:start="1"/>
          <w:cols w:space="720" w:num="1"/>
          <w:titlePg/>
          <w:docGrid w:linePitch="286" w:charSpace="0"/>
        </w:sectPr>
      </w:pPr>
    </w:p>
    <w:p>
      <w:pPr>
        <w:keepLines w:val="0"/>
        <w:pageBreakBefore w:val="0"/>
        <w:kinsoku/>
        <w:wordWrap/>
        <w:overflowPunct/>
        <w:topLinePunct w:val="0"/>
        <w:autoSpaceDE/>
        <w:autoSpaceDN/>
        <w:bidi w:val="0"/>
        <w:adjustRightInd w:val="0"/>
        <w:snapToGrid w:val="0"/>
        <w:spacing w:line="560" w:lineRule="exact"/>
        <w:rPr>
          <w:rStyle w:val="17"/>
          <w:rFonts w:ascii="仿宋_GB2312" w:hAnsi="仿宋" w:eastAsia="仿宋_GB2312" w:cs="仿宋"/>
          <w:bCs/>
          <w:sz w:val="32"/>
          <w:szCs w:val="32"/>
        </w:rPr>
      </w:pPr>
    </w:p>
    <w:p>
      <w:pPr>
        <w:keepLines w:val="0"/>
        <w:pageBreakBefore w:val="0"/>
        <w:kinsoku/>
        <w:wordWrap/>
        <w:overflowPunct/>
        <w:topLinePunct w:val="0"/>
        <w:autoSpaceDE/>
        <w:autoSpaceDN/>
        <w:bidi w:val="0"/>
        <w:adjustRightInd w:val="0"/>
        <w:snapToGrid w:val="0"/>
        <w:spacing w:line="560" w:lineRule="exact"/>
        <w:jc w:val="center"/>
        <w:rPr>
          <w:rStyle w:val="17"/>
          <w:rFonts w:ascii="仿宋_GB2312" w:hAnsi="仿宋" w:eastAsia="仿宋_GB2312" w:cs="仿宋"/>
          <w:bCs/>
          <w:sz w:val="32"/>
          <w:szCs w:val="32"/>
        </w:rPr>
      </w:pPr>
      <w:r>
        <w:rPr>
          <w:rFonts w:hint="eastAsia" w:ascii="方正小标宋简体" w:eastAsia="方正小标宋简体"/>
          <w:b/>
          <w:sz w:val="44"/>
          <w:szCs w:val="44"/>
        </w:rPr>
        <w:t>目 录</w:t>
      </w:r>
    </w:p>
    <w:p>
      <w:pPr>
        <w:pStyle w:val="10"/>
        <w:tabs>
          <w:tab w:val="right" w:leader="dot" w:pos="8640"/>
        </w:tabs>
      </w:pPr>
      <w:r>
        <w:rPr>
          <w:rStyle w:val="17"/>
          <w:rFonts w:hint="eastAsia" w:ascii="黑体" w:hAnsi="黑体" w:eastAsia="黑体" w:cs="黑体"/>
          <w:bCs/>
          <w:sz w:val="32"/>
          <w:szCs w:val="32"/>
        </w:rPr>
        <w:fldChar w:fldCharType="begin"/>
      </w:r>
      <w:r>
        <w:rPr>
          <w:rStyle w:val="17"/>
          <w:rFonts w:hint="eastAsia" w:ascii="黑体" w:hAnsi="黑体" w:eastAsia="黑体" w:cs="黑体"/>
          <w:bCs/>
          <w:sz w:val="32"/>
          <w:szCs w:val="32"/>
        </w:rPr>
        <w:instrText xml:space="preserve"> TOC \o "1-3" \h \z \u </w:instrText>
      </w:r>
      <w:r>
        <w:rPr>
          <w:rStyle w:val="17"/>
          <w:rFonts w:hint="eastAsia" w:ascii="黑体" w:hAnsi="黑体" w:eastAsia="黑体" w:cs="黑体"/>
          <w:bCs/>
          <w:sz w:val="32"/>
          <w:szCs w:val="32"/>
        </w:rPr>
        <w:fldChar w:fldCharType="separate"/>
      </w:r>
      <w:r>
        <w:rPr>
          <w:rFonts w:hint="eastAsia" w:ascii="黑体" w:hAnsi="黑体" w:eastAsia="黑体" w:cs="黑体"/>
          <w:bCs/>
          <w:sz w:val="32"/>
          <w:szCs w:val="32"/>
        </w:rPr>
        <w:fldChar w:fldCharType="begin"/>
      </w:r>
      <w:r>
        <w:rPr>
          <w:rFonts w:hint="eastAsia" w:ascii="黑体" w:hAnsi="黑体" w:eastAsia="黑体" w:cs="黑体"/>
          <w:bCs/>
          <w:sz w:val="32"/>
          <w:szCs w:val="32"/>
        </w:rPr>
        <w:instrText xml:space="preserve"> HYPERLINK \l _Toc22112 </w:instrText>
      </w:r>
      <w:r>
        <w:rPr>
          <w:rFonts w:hint="eastAsia" w:ascii="黑体" w:hAnsi="黑体" w:eastAsia="黑体" w:cs="黑体"/>
          <w:bCs/>
          <w:sz w:val="32"/>
          <w:szCs w:val="32"/>
        </w:rPr>
        <w:fldChar w:fldCharType="separate"/>
      </w:r>
      <w:r>
        <w:rPr>
          <w:rFonts w:hint="eastAsia" w:ascii="黑体" w:hAnsi="黑体" w:eastAsia="黑体" w:cs="黑体"/>
          <w:bCs/>
          <w:sz w:val="32"/>
          <w:szCs w:val="32"/>
          <w:lang w:val="en-US" w:eastAsia="zh-CN"/>
        </w:rPr>
        <w:t>第一章  发展基础和机遇挑战</w:t>
      </w:r>
      <w:r>
        <w:rPr>
          <w:rFonts w:hint="eastAsia" w:ascii="黑体" w:hAnsi="黑体" w:eastAsia="黑体" w:cs="黑体"/>
          <w:bCs/>
          <w:sz w:val="32"/>
          <w:szCs w:val="32"/>
        </w:rPr>
        <w:tab/>
      </w:r>
      <w:r>
        <w:rPr>
          <w:rFonts w:hint="eastAsia" w:ascii="黑体" w:hAnsi="黑体" w:eastAsia="黑体" w:cs="黑体"/>
          <w:bCs/>
          <w:sz w:val="32"/>
          <w:szCs w:val="32"/>
        </w:rPr>
        <w:fldChar w:fldCharType="begin"/>
      </w:r>
      <w:r>
        <w:rPr>
          <w:rFonts w:hint="eastAsia" w:ascii="黑体" w:hAnsi="黑体" w:eastAsia="黑体" w:cs="黑体"/>
          <w:bCs/>
          <w:sz w:val="32"/>
          <w:szCs w:val="32"/>
        </w:rPr>
        <w:instrText xml:space="preserve"> PAGEREF _Toc22112 </w:instrText>
      </w:r>
      <w:r>
        <w:rPr>
          <w:rFonts w:hint="eastAsia" w:ascii="黑体" w:hAnsi="黑体" w:eastAsia="黑体" w:cs="黑体"/>
          <w:bCs/>
          <w:sz w:val="32"/>
          <w:szCs w:val="32"/>
        </w:rPr>
        <w:fldChar w:fldCharType="separate"/>
      </w:r>
      <w:r>
        <w:rPr>
          <w:rFonts w:hint="eastAsia" w:ascii="黑体" w:hAnsi="黑体" w:eastAsia="黑体" w:cs="黑体"/>
          <w:bCs/>
          <w:sz w:val="32"/>
          <w:szCs w:val="32"/>
        </w:rPr>
        <w:t>1</w:t>
      </w:r>
      <w:r>
        <w:rPr>
          <w:rFonts w:hint="eastAsia" w:ascii="黑体" w:hAnsi="黑体" w:eastAsia="黑体" w:cs="黑体"/>
          <w:bCs/>
          <w:sz w:val="32"/>
          <w:szCs w:val="32"/>
        </w:rPr>
        <w:fldChar w:fldCharType="end"/>
      </w:r>
      <w:r>
        <w:rPr>
          <w:rFonts w:hint="eastAsia" w:ascii="黑体" w:hAnsi="黑体" w:eastAsia="黑体" w:cs="黑体"/>
          <w:bCs/>
          <w:sz w:val="32"/>
          <w:szCs w:val="32"/>
        </w:rPr>
        <w:fldChar w:fldCharType="end"/>
      </w:r>
    </w:p>
    <w:p>
      <w:pPr>
        <w:pStyle w:val="2"/>
        <w:tabs>
          <w:tab w:val="right" w:leader="dot" w:pos="8640"/>
        </w:tabs>
        <w:rPr>
          <w:rFonts w:hint="eastAsia" w:ascii="黑体" w:hAnsi="黑体" w:eastAsia="黑体" w:cs="黑体"/>
          <w:b w:val="0"/>
          <w:bCs/>
          <w:sz w:val="32"/>
          <w:szCs w:val="32"/>
        </w:rPr>
      </w:pPr>
      <w:r>
        <w:rPr>
          <w:rFonts w:hint="eastAsia" w:ascii="黑体" w:hAnsi="黑体" w:eastAsia="黑体" w:cs="黑体"/>
          <w:b w:val="0"/>
          <w:bCs/>
          <w:sz w:val="32"/>
          <w:szCs w:val="32"/>
        </w:rPr>
        <w:fldChar w:fldCharType="begin"/>
      </w:r>
      <w:r>
        <w:rPr>
          <w:rFonts w:hint="eastAsia" w:ascii="黑体" w:hAnsi="黑体" w:eastAsia="黑体" w:cs="黑体"/>
          <w:b w:val="0"/>
          <w:bCs/>
          <w:sz w:val="32"/>
          <w:szCs w:val="32"/>
        </w:rPr>
        <w:instrText xml:space="preserve"> HYPERLINK \l _Toc5245 </w:instrText>
      </w:r>
      <w:r>
        <w:rPr>
          <w:rFonts w:hint="eastAsia" w:ascii="黑体" w:hAnsi="黑体" w:eastAsia="黑体" w:cs="黑体"/>
          <w:b w:val="0"/>
          <w:bCs/>
          <w:sz w:val="32"/>
          <w:szCs w:val="32"/>
        </w:rPr>
        <w:fldChar w:fldCharType="separate"/>
      </w:r>
      <w:r>
        <w:rPr>
          <w:rFonts w:hint="eastAsia" w:ascii="楷体" w:hAnsi="楷体" w:eastAsia="楷体" w:cs="楷体"/>
          <w:sz w:val="32"/>
          <w:szCs w:val="32"/>
        </w:rPr>
        <w:t>第一节  发展基础</w:t>
      </w:r>
      <w:r>
        <w:rPr>
          <w:rFonts w:hint="eastAsia" w:ascii="黑体" w:hAnsi="黑体" w:eastAsia="黑体" w:cs="黑体"/>
          <w:bCs/>
          <w:kern w:val="2"/>
          <w:sz w:val="32"/>
          <w:szCs w:val="32"/>
          <w:lang w:val="en-US" w:eastAsia="zh-CN" w:bidi="ar-SA"/>
        </w:rPr>
        <w:tab/>
      </w:r>
      <w:r>
        <w:rPr>
          <w:rFonts w:hint="eastAsia" w:ascii="黑体" w:hAnsi="黑体" w:eastAsia="黑体" w:cs="黑体"/>
          <w:bCs/>
          <w:kern w:val="2"/>
          <w:sz w:val="32"/>
          <w:szCs w:val="32"/>
          <w:lang w:val="en-US" w:eastAsia="zh-CN" w:bidi="ar-SA"/>
        </w:rPr>
        <w:fldChar w:fldCharType="begin"/>
      </w:r>
      <w:r>
        <w:rPr>
          <w:rFonts w:hint="eastAsia" w:ascii="黑体" w:hAnsi="黑体" w:eastAsia="黑体" w:cs="黑体"/>
          <w:bCs/>
          <w:kern w:val="2"/>
          <w:sz w:val="32"/>
          <w:szCs w:val="32"/>
          <w:lang w:val="en-US" w:eastAsia="zh-CN" w:bidi="ar-SA"/>
        </w:rPr>
        <w:instrText xml:space="preserve"> PAGEREF _Toc5245 </w:instrText>
      </w:r>
      <w:r>
        <w:rPr>
          <w:rFonts w:hint="eastAsia" w:ascii="黑体" w:hAnsi="黑体" w:eastAsia="黑体" w:cs="黑体"/>
          <w:bCs/>
          <w:kern w:val="2"/>
          <w:sz w:val="32"/>
          <w:szCs w:val="32"/>
          <w:lang w:val="en-US" w:eastAsia="zh-CN" w:bidi="ar-SA"/>
        </w:rPr>
        <w:fldChar w:fldCharType="separate"/>
      </w:r>
      <w:r>
        <w:rPr>
          <w:rFonts w:hint="eastAsia" w:ascii="黑体" w:hAnsi="黑体" w:eastAsia="黑体" w:cs="黑体"/>
          <w:bCs/>
          <w:kern w:val="2"/>
          <w:sz w:val="32"/>
          <w:szCs w:val="32"/>
          <w:lang w:val="en-US" w:eastAsia="zh-CN" w:bidi="ar-SA"/>
        </w:rPr>
        <w:t>1</w:t>
      </w:r>
      <w:r>
        <w:rPr>
          <w:rFonts w:hint="eastAsia" w:ascii="黑体" w:hAnsi="黑体" w:eastAsia="黑体" w:cs="黑体"/>
          <w:bCs/>
          <w:kern w:val="2"/>
          <w:sz w:val="32"/>
          <w:szCs w:val="32"/>
          <w:lang w:val="en-US" w:eastAsia="zh-CN" w:bidi="ar-SA"/>
        </w:rPr>
        <w:fldChar w:fldCharType="end"/>
      </w:r>
      <w:r>
        <w:rPr>
          <w:rFonts w:hint="eastAsia" w:ascii="黑体" w:hAnsi="黑体" w:eastAsia="黑体" w:cs="黑体"/>
          <w:b w:val="0"/>
          <w:bCs/>
          <w:sz w:val="32"/>
          <w:szCs w:val="32"/>
        </w:rPr>
        <w:fldChar w:fldCharType="end"/>
      </w:r>
    </w:p>
    <w:p>
      <w:pPr>
        <w:pStyle w:val="2"/>
        <w:tabs>
          <w:tab w:val="right" w:leader="dot" w:pos="8640"/>
        </w:tabs>
        <w:rPr>
          <w:b w:val="0"/>
          <w:bCs/>
        </w:rPr>
      </w:pPr>
      <w:r>
        <w:rPr>
          <w:rFonts w:hint="eastAsia" w:ascii="黑体" w:hAnsi="黑体" w:eastAsia="黑体" w:cs="黑体"/>
          <w:b w:val="0"/>
          <w:bCs/>
          <w:sz w:val="32"/>
          <w:szCs w:val="32"/>
        </w:rPr>
        <w:fldChar w:fldCharType="begin"/>
      </w:r>
      <w:r>
        <w:rPr>
          <w:rFonts w:hint="eastAsia" w:ascii="黑体" w:hAnsi="黑体" w:eastAsia="黑体" w:cs="黑体"/>
          <w:b w:val="0"/>
          <w:bCs/>
          <w:sz w:val="32"/>
          <w:szCs w:val="32"/>
        </w:rPr>
        <w:instrText xml:space="preserve"> HYPERLINK \l _Toc13382 </w:instrText>
      </w:r>
      <w:r>
        <w:rPr>
          <w:rFonts w:hint="eastAsia" w:ascii="黑体" w:hAnsi="黑体" w:eastAsia="黑体" w:cs="黑体"/>
          <w:b w:val="0"/>
          <w:bCs/>
          <w:sz w:val="32"/>
          <w:szCs w:val="32"/>
        </w:rPr>
        <w:fldChar w:fldCharType="separate"/>
      </w:r>
      <w:r>
        <w:rPr>
          <w:rFonts w:hint="eastAsia" w:ascii="楷体" w:hAnsi="楷体" w:eastAsia="楷体" w:cs="楷体"/>
          <w:sz w:val="32"/>
          <w:szCs w:val="32"/>
        </w:rPr>
        <w:t>第二节  机遇挑战</w:t>
      </w:r>
      <w:r>
        <w:rPr>
          <w:rFonts w:hint="eastAsia" w:ascii="黑体" w:hAnsi="黑体" w:eastAsia="黑体" w:cs="黑体"/>
          <w:bCs/>
          <w:kern w:val="2"/>
          <w:sz w:val="32"/>
          <w:szCs w:val="32"/>
          <w:lang w:val="en-US" w:eastAsia="zh-CN" w:bidi="ar-SA"/>
        </w:rPr>
        <w:tab/>
      </w:r>
      <w:r>
        <w:rPr>
          <w:rFonts w:hint="eastAsia" w:ascii="黑体" w:hAnsi="黑体" w:eastAsia="黑体" w:cs="黑体"/>
          <w:bCs/>
          <w:kern w:val="2"/>
          <w:sz w:val="32"/>
          <w:szCs w:val="32"/>
          <w:lang w:val="en-US" w:eastAsia="zh-CN" w:bidi="ar-SA"/>
        </w:rPr>
        <w:fldChar w:fldCharType="begin"/>
      </w:r>
      <w:r>
        <w:rPr>
          <w:rFonts w:hint="eastAsia" w:ascii="黑体" w:hAnsi="黑体" w:eastAsia="黑体" w:cs="黑体"/>
          <w:bCs/>
          <w:kern w:val="2"/>
          <w:sz w:val="32"/>
          <w:szCs w:val="32"/>
          <w:lang w:val="en-US" w:eastAsia="zh-CN" w:bidi="ar-SA"/>
        </w:rPr>
        <w:instrText xml:space="preserve"> PAGEREF _Toc13382 </w:instrText>
      </w:r>
      <w:r>
        <w:rPr>
          <w:rFonts w:hint="eastAsia" w:ascii="黑体" w:hAnsi="黑体" w:eastAsia="黑体" w:cs="黑体"/>
          <w:bCs/>
          <w:kern w:val="2"/>
          <w:sz w:val="32"/>
          <w:szCs w:val="32"/>
          <w:lang w:val="en-US" w:eastAsia="zh-CN" w:bidi="ar-SA"/>
        </w:rPr>
        <w:fldChar w:fldCharType="separate"/>
      </w:r>
      <w:r>
        <w:rPr>
          <w:rFonts w:hint="eastAsia" w:ascii="黑体" w:hAnsi="黑体" w:eastAsia="黑体" w:cs="黑体"/>
          <w:bCs/>
          <w:kern w:val="2"/>
          <w:sz w:val="32"/>
          <w:szCs w:val="32"/>
          <w:lang w:val="en-US" w:eastAsia="zh-CN" w:bidi="ar-SA"/>
        </w:rPr>
        <w:t>6</w:t>
      </w:r>
      <w:r>
        <w:rPr>
          <w:rFonts w:hint="eastAsia" w:ascii="黑体" w:hAnsi="黑体" w:eastAsia="黑体" w:cs="黑体"/>
          <w:bCs/>
          <w:kern w:val="2"/>
          <w:sz w:val="32"/>
          <w:szCs w:val="32"/>
          <w:lang w:val="en-US" w:eastAsia="zh-CN" w:bidi="ar-SA"/>
        </w:rPr>
        <w:fldChar w:fldCharType="end"/>
      </w:r>
      <w:r>
        <w:rPr>
          <w:rFonts w:hint="eastAsia" w:ascii="黑体" w:hAnsi="黑体" w:eastAsia="黑体" w:cs="黑体"/>
          <w:b w:val="0"/>
          <w:bCs/>
          <w:sz w:val="32"/>
          <w:szCs w:val="32"/>
        </w:rPr>
        <w:fldChar w:fldCharType="end"/>
      </w:r>
    </w:p>
    <w:p>
      <w:pPr>
        <w:pStyle w:val="10"/>
        <w:tabs>
          <w:tab w:val="right" w:leader="dot" w:pos="8640"/>
        </w:tabs>
      </w:pPr>
      <w:r>
        <w:rPr>
          <w:rFonts w:hint="eastAsia" w:ascii="黑体" w:hAnsi="黑体" w:eastAsia="黑体" w:cs="黑体"/>
          <w:bCs/>
          <w:sz w:val="32"/>
          <w:szCs w:val="32"/>
          <w:lang w:val="en-US" w:eastAsia="zh-CN"/>
        </w:rPr>
        <w:fldChar w:fldCharType="begin"/>
      </w:r>
      <w:r>
        <w:rPr>
          <w:rFonts w:hint="eastAsia" w:ascii="黑体" w:hAnsi="黑体" w:eastAsia="黑体" w:cs="黑体"/>
          <w:bCs/>
          <w:sz w:val="32"/>
          <w:szCs w:val="32"/>
          <w:lang w:val="en-US" w:eastAsia="zh-CN"/>
        </w:rPr>
        <w:instrText xml:space="preserve"> HYPERLINK \l _Toc2683 </w:instrText>
      </w:r>
      <w:r>
        <w:rPr>
          <w:rFonts w:hint="eastAsia" w:ascii="黑体" w:hAnsi="黑体" w:eastAsia="黑体" w:cs="黑体"/>
          <w:bCs/>
          <w:sz w:val="32"/>
          <w:szCs w:val="32"/>
          <w:lang w:val="en-US" w:eastAsia="zh-CN"/>
        </w:rPr>
        <w:fldChar w:fldCharType="separate"/>
      </w:r>
      <w:r>
        <w:rPr>
          <w:rFonts w:hint="eastAsia" w:ascii="黑体" w:hAnsi="黑体" w:eastAsia="黑体" w:cs="黑体"/>
          <w:bCs/>
          <w:sz w:val="32"/>
          <w:szCs w:val="32"/>
          <w:lang w:val="en-US" w:eastAsia="zh-CN"/>
        </w:rPr>
        <w:t>第二章  总体要求</w:t>
      </w:r>
      <w:r>
        <w:rPr>
          <w:rFonts w:hint="eastAsia" w:ascii="黑体" w:hAnsi="黑体" w:eastAsia="黑体" w:cs="黑体"/>
          <w:bCs/>
          <w:sz w:val="32"/>
          <w:szCs w:val="32"/>
          <w:lang w:val="en-US" w:eastAsia="zh-CN"/>
        </w:rPr>
        <w:tab/>
      </w:r>
      <w:r>
        <w:rPr>
          <w:rFonts w:hint="eastAsia" w:ascii="黑体" w:hAnsi="黑体" w:eastAsia="黑体" w:cs="黑体"/>
          <w:bCs/>
          <w:sz w:val="32"/>
          <w:szCs w:val="32"/>
          <w:lang w:val="en-US" w:eastAsia="zh-CN"/>
        </w:rPr>
        <w:fldChar w:fldCharType="begin"/>
      </w:r>
      <w:r>
        <w:rPr>
          <w:rFonts w:hint="eastAsia" w:ascii="黑体" w:hAnsi="黑体" w:eastAsia="黑体" w:cs="黑体"/>
          <w:bCs/>
          <w:sz w:val="32"/>
          <w:szCs w:val="32"/>
          <w:lang w:val="en-US" w:eastAsia="zh-CN"/>
        </w:rPr>
        <w:instrText xml:space="preserve"> PAGEREF _Toc2683 </w:instrText>
      </w:r>
      <w:r>
        <w:rPr>
          <w:rFonts w:hint="eastAsia" w:ascii="黑体" w:hAnsi="黑体" w:eastAsia="黑体" w:cs="黑体"/>
          <w:bCs/>
          <w:sz w:val="32"/>
          <w:szCs w:val="32"/>
          <w:lang w:val="en-US" w:eastAsia="zh-CN"/>
        </w:rPr>
        <w:fldChar w:fldCharType="separate"/>
      </w:r>
      <w:r>
        <w:rPr>
          <w:rFonts w:hint="eastAsia" w:ascii="黑体" w:hAnsi="黑体" w:eastAsia="黑体" w:cs="黑体"/>
          <w:bCs/>
          <w:sz w:val="32"/>
          <w:szCs w:val="32"/>
          <w:lang w:val="en-US" w:eastAsia="zh-CN"/>
        </w:rPr>
        <w:t>10</w:t>
      </w:r>
      <w:r>
        <w:rPr>
          <w:rFonts w:hint="eastAsia" w:ascii="黑体" w:hAnsi="黑体" w:eastAsia="黑体" w:cs="黑体"/>
          <w:bCs/>
          <w:sz w:val="32"/>
          <w:szCs w:val="32"/>
          <w:lang w:val="en-US" w:eastAsia="zh-CN"/>
        </w:rPr>
        <w:fldChar w:fldCharType="end"/>
      </w:r>
      <w:r>
        <w:rPr>
          <w:rFonts w:hint="eastAsia" w:ascii="黑体" w:hAnsi="黑体" w:eastAsia="黑体" w:cs="黑体"/>
          <w:bCs/>
          <w:sz w:val="32"/>
          <w:szCs w:val="32"/>
          <w:lang w:val="en-US" w:eastAsia="zh-CN"/>
        </w:rPr>
        <w:fldChar w:fldCharType="end"/>
      </w:r>
    </w:p>
    <w:p>
      <w:pPr>
        <w:pStyle w:val="2"/>
        <w:tabs>
          <w:tab w:val="right" w:leader="dot" w:pos="8640"/>
        </w:tabs>
      </w:pPr>
      <w:r>
        <w:rPr>
          <w:rFonts w:hint="eastAsia" w:ascii="楷体" w:hAnsi="楷体" w:eastAsia="楷体" w:cs="楷体"/>
          <w:sz w:val="32"/>
          <w:szCs w:val="32"/>
        </w:rPr>
        <w:fldChar w:fldCharType="begin"/>
      </w:r>
      <w:r>
        <w:rPr>
          <w:rFonts w:hint="eastAsia" w:ascii="楷体" w:hAnsi="楷体" w:eastAsia="楷体" w:cs="楷体"/>
          <w:sz w:val="32"/>
          <w:szCs w:val="32"/>
        </w:rPr>
        <w:instrText xml:space="preserve"> HYPERLINK \l _Toc23389 </w:instrText>
      </w:r>
      <w:r>
        <w:rPr>
          <w:rFonts w:hint="eastAsia" w:ascii="楷体" w:hAnsi="楷体" w:eastAsia="楷体" w:cs="楷体"/>
          <w:sz w:val="32"/>
          <w:szCs w:val="32"/>
        </w:rPr>
        <w:fldChar w:fldCharType="separate"/>
      </w:r>
      <w:r>
        <w:rPr>
          <w:rFonts w:hint="eastAsia" w:ascii="楷体" w:hAnsi="楷体" w:eastAsia="楷体" w:cs="楷体"/>
          <w:sz w:val="32"/>
          <w:szCs w:val="32"/>
        </w:rPr>
        <w:t>第一节  指导思想</w:t>
      </w:r>
      <w:r>
        <w:rPr>
          <w:rFonts w:hint="eastAsia" w:ascii="黑体" w:hAnsi="黑体" w:eastAsia="黑体" w:cs="黑体"/>
          <w:bCs/>
          <w:kern w:val="2"/>
          <w:sz w:val="32"/>
          <w:szCs w:val="32"/>
          <w:lang w:val="en-US" w:eastAsia="zh-CN" w:bidi="ar-SA"/>
        </w:rPr>
        <w:tab/>
      </w:r>
      <w:r>
        <w:rPr>
          <w:rFonts w:hint="eastAsia" w:ascii="黑体" w:hAnsi="黑体" w:eastAsia="黑体" w:cs="黑体"/>
          <w:bCs/>
          <w:kern w:val="2"/>
          <w:sz w:val="32"/>
          <w:szCs w:val="32"/>
          <w:lang w:val="en-US" w:eastAsia="zh-CN" w:bidi="ar-SA"/>
        </w:rPr>
        <w:fldChar w:fldCharType="begin"/>
      </w:r>
      <w:r>
        <w:rPr>
          <w:rFonts w:hint="eastAsia" w:ascii="黑体" w:hAnsi="黑体" w:eastAsia="黑体" w:cs="黑体"/>
          <w:bCs/>
          <w:kern w:val="2"/>
          <w:sz w:val="32"/>
          <w:szCs w:val="32"/>
          <w:lang w:val="en-US" w:eastAsia="zh-CN" w:bidi="ar-SA"/>
        </w:rPr>
        <w:instrText xml:space="preserve"> PAGEREF _Toc23389 </w:instrText>
      </w:r>
      <w:r>
        <w:rPr>
          <w:rFonts w:hint="eastAsia" w:ascii="黑体" w:hAnsi="黑体" w:eastAsia="黑体" w:cs="黑体"/>
          <w:bCs/>
          <w:kern w:val="2"/>
          <w:sz w:val="32"/>
          <w:szCs w:val="32"/>
          <w:lang w:val="en-US" w:eastAsia="zh-CN" w:bidi="ar-SA"/>
        </w:rPr>
        <w:fldChar w:fldCharType="separate"/>
      </w:r>
      <w:r>
        <w:rPr>
          <w:rFonts w:hint="eastAsia" w:ascii="黑体" w:hAnsi="黑体" w:eastAsia="黑体" w:cs="黑体"/>
          <w:bCs/>
          <w:kern w:val="2"/>
          <w:sz w:val="32"/>
          <w:szCs w:val="32"/>
          <w:lang w:val="en-US" w:eastAsia="zh-CN" w:bidi="ar-SA"/>
        </w:rPr>
        <w:t>10</w:t>
      </w:r>
      <w:r>
        <w:rPr>
          <w:rFonts w:hint="eastAsia" w:ascii="黑体" w:hAnsi="黑体" w:eastAsia="黑体" w:cs="黑体"/>
          <w:bCs/>
          <w:kern w:val="2"/>
          <w:sz w:val="32"/>
          <w:szCs w:val="32"/>
          <w:lang w:val="en-US" w:eastAsia="zh-CN" w:bidi="ar-SA"/>
        </w:rPr>
        <w:fldChar w:fldCharType="end"/>
      </w:r>
      <w:r>
        <w:rPr>
          <w:rFonts w:hint="eastAsia" w:ascii="楷体" w:hAnsi="楷体" w:eastAsia="楷体" w:cs="楷体"/>
          <w:sz w:val="32"/>
          <w:szCs w:val="32"/>
        </w:rPr>
        <w:fldChar w:fldCharType="end"/>
      </w:r>
    </w:p>
    <w:p>
      <w:pPr>
        <w:pStyle w:val="2"/>
        <w:tabs>
          <w:tab w:val="right" w:leader="dot" w:pos="8640"/>
        </w:tabs>
        <w:rPr>
          <w:rFonts w:hint="eastAsia" w:ascii="黑体" w:hAnsi="黑体" w:eastAsia="黑体" w:cs="黑体"/>
          <w:bCs/>
          <w:kern w:val="2"/>
          <w:sz w:val="32"/>
          <w:szCs w:val="32"/>
          <w:lang w:val="en-US" w:eastAsia="zh-CN" w:bidi="ar-SA"/>
        </w:rPr>
      </w:pPr>
      <w:r>
        <w:rPr>
          <w:rFonts w:hint="eastAsia" w:ascii="黑体" w:hAnsi="黑体" w:eastAsia="黑体" w:cs="黑体"/>
          <w:bCs/>
          <w:kern w:val="2"/>
          <w:sz w:val="32"/>
          <w:szCs w:val="32"/>
          <w:lang w:val="en-US" w:eastAsia="zh-CN" w:bidi="ar-SA"/>
        </w:rPr>
        <w:fldChar w:fldCharType="begin"/>
      </w:r>
      <w:r>
        <w:rPr>
          <w:rFonts w:hint="eastAsia" w:ascii="黑体" w:hAnsi="黑体" w:eastAsia="黑体" w:cs="黑体"/>
          <w:bCs/>
          <w:kern w:val="2"/>
          <w:sz w:val="32"/>
          <w:szCs w:val="32"/>
          <w:lang w:val="en-US" w:eastAsia="zh-CN" w:bidi="ar-SA"/>
        </w:rPr>
        <w:instrText xml:space="preserve"> HYPERLINK \l _Toc20897 </w:instrText>
      </w:r>
      <w:r>
        <w:rPr>
          <w:rFonts w:hint="eastAsia" w:ascii="黑体" w:hAnsi="黑体" w:eastAsia="黑体" w:cs="黑体"/>
          <w:bCs/>
          <w:kern w:val="2"/>
          <w:sz w:val="32"/>
          <w:szCs w:val="32"/>
          <w:lang w:val="en-US" w:eastAsia="zh-CN" w:bidi="ar-SA"/>
        </w:rPr>
        <w:fldChar w:fldCharType="separate"/>
      </w:r>
      <w:r>
        <w:rPr>
          <w:rFonts w:hint="eastAsia" w:ascii="楷体" w:hAnsi="楷体" w:eastAsia="楷体" w:cs="楷体"/>
          <w:sz w:val="32"/>
          <w:szCs w:val="32"/>
          <w:lang w:val="en-US" w:eastAsia="zh-CN"/>
        </w:rPr>
        <w:t>第二节  基本原则</w:t>
      </w:r>
      <w:r>
        <w:rPr>
          <w:rFonts w:hint="eastAsia" w:ascii="黑体" w:hAnsi="黑体" w:eastAsia="黑体" w:cs="黑体"/>
          <w:bCs/>
          <w:kern w:val="2"/>
          <w:sz w:val="32"/>
          <w:szCs w:val="32"/>
          <w:lang w:val="en-US" w:eastAsia="zh-CN" w:bidi="ar-SA"/>
        </w:rPr>
        <w:tab/>
      </w:r>
      <w:r>
        <w:rPr>
          <w:rFonts w:hint="eastAsia" w:ascii="黑体" w:hAnsi="黑体" w:eastAsia="黑体" w:cs="黑体"/>
          <w:bCs/>
          <w:kern w:val="2"/>
          <w:sz w:val="32"/>
          <w:szCs w:val="32"/>
          <w:lang w:val="en-US" w:eastAsia="zh-CN" w:bidi="ar-SA"/>
        </w:rPr>
        <w:fldChar w:fldCharType="begin"/>
      </w:r>
      <w:r>
        <w:rPr>
          <w:rFonts w:hint="eastAsia" w:ascii="黑体" w:hAnsi="黑体" w:eastAsia="黑体" w:cs="黑体"/>
          <w:bCs/>
          <w:kern w:val="2"/>
          <w:sz w:val="32"/>
          <w:szCs w:val="32"/>
          <w:lang w:val="en-US" w:eastAsia="zh-CN" w:bidi="ar-SA"/>
        </w:rPr>
        <w:instrText xml:space="preserve"> PAGEREF _Toc20897 </w:instrText>
      </w:r>
      <w:r>
        <w:rPr>
          <w:rFonts w:hint="eastAsia" w:ascii="黑体" w:hAnsi="黑体" w:eastAsia="黑体" w:cs="黑体"/>
          <w:bCs/>
          <w:kern w:val="2"/>
          <w:sz w:val="32"/>
          <w:szCs w:val="32"/>
          <w:lang w:val="en-US" w:eastAsia="zh-CN" w:bidi="ar-SA"/>
        </w:rPr>
        <w:fldChar w:fldCharType="separate"/>
      </w:r>
      <w:r>
        <w:rPr>
          <w:rFonts w:hint="eastAsia" w:ascii="黑体" w:hAnsi="黑体" w:eastAsia="黑体" w:cs="黑体"/>
          <w:bCs/>
          <w:kern w:val="2"/>
          <w:sz w:val="32"/>
          <w:szCs w:val="32"/>
          <w:lang w:val="en-US" w:eastAsia="zh-CN" w:bidi="ar-SA"/>
        </w:rPr>
        <w:t>11</w:t>
      </w:r>
      <w:r>
        <w:rPr>
          <w:rFonts w:hint="eastAsia" w:ascii="黑体" w:hAnsi="黑体" w:eastAsia="黑体" w:cs="黑体"/>
          <w:bCs/>
          <w:kern w:val="2"/>
          <w:sz w:val="32"/>
          <w:szCs w:val="32"/>
          <w:lang w:val="en-US" w:eastAsia="zh-CN" w:bidi="ar-SA"/>
        </w:rPr>
        <w:fldChar w:fldCharType="end"/>
      </w:r>
      <w:r>
        <w:rPr>
          <w:rFonts w:hint="eastAsia" w:ascii="黑体" w:hAnsi="黑体" w:eastAsia="黑体" w:cs="黑体"/>
          <w:bCs/>
          <w:kern w:val="2"/>
          <w:sz w:val="32"/>
          <w:szCs w:val="32"/>
          <w:lang w:val="en-US" w:eastAsia="zh-CN" w:bidi="ar-SA"/>
        </w:rPr>
        <w:fldChar w:fldCharType="end"/>
      </w:r>
    </w:p>
    <w:p>
      <w:pPr>
        <w:pStyle w:val="2"/>
        <w:tabs>
          <w:tab w:val="right" w:leader="dot" w:pos="8640"/>
        </w:tabs>
      </w:pPr>
      <w:r>
        <w:rPr>
          <w:rFonts w:hint="eastAsia" w:ascii="黑体" w:hAnsi="黑体" w:eastAsia="黑体" w:cs="黑体"/>
          <w:bCs/>
          <w:szCs w:val="32"/>
        </w:rPr>
        <w:fldChar w:fldCharType="begin"/>
      </w:r>
      <w:r>
        <w:rPr>
          <w:rFonts w:hint="eastAsia" w:ascii="黑体" w:hAnsi="黑体" w:eastAsia="黑体" w:cs="黑体"/>
          <w:bCs/>
          <w:szCs w:val="32"/>
        </w:rPr>
        <w:instrText xml:space="preserve"> HYPERLINK \l _Toc18889 </w:instrText>
      </w:r>
      <w:r>
        <w:rPr>
          <w:rFonts w:hint="eastAsia" w:ascii="黑体" w:hAnsi="黑体" w:eastAsia="黑体" w:cs="黑体"/>
          <w:bCs/>
          <w:szCs w:val="32"/>
        </w:rPr>
        <w:fldChar w:fldCharType="separate"/>
      </w:r>
      <w:r>
        <w:rPr>
          <w:rFonts w:hint="eastAsia" w:ascii="楷体" w:hAnsi="楷体" w:eastAsia="楷体" w:cs="楷体"/>
          <w:sz w:val="32"/>
          <w:szCs w:val="32"/>
        </w:rPr>
        <w:t>第三节  主要目标</w:t>
      </w:r>
      <w:r>
        <w:rPr>
          <w:rFonts w:hint="eastAsia" w:ascii="黑体" w:hAnsi="黑体" w:eastAsia="黑体" w:cs="黑体"/>
          <w:bCs/>
          <w:kern w:val="2"/>
          <w:sz w:val="32"/>
          <w:szCs w:val="32"/>
          <w:lang w:val="en-US" w:eastAsia="zh-CN" w:bidi="ar-SA"/>
        </w:rPr>
        <w:tab/>
      </w:r>
      <w:r>
        <w:rPr>
          <w:rFonts w:hint="eastAsia" w:ascii="黑体" w:hAnsi="黑体" w:eastAsia="黑体" w:cs="黑体"/>
          <w:bCs/>
          <w:kern w:val="2"/>
          <w:sz w:val="32"/>
          <w:szCs w:val="32"/>
          <w:lang w:val="en-US" w:eastAsia="zh-CN" w:bidi="ar-SA"/>
        </w:rPr>
        <w:fldChar w:fldCharType="begin"/>
      </w:r>
      <w:r>
        <w:rPr>
          <w:rFonts w:hint="eastAsia" w:ascii="黑体" w:hAnsi="黑体" w:eastAsia="黑体" w:cs="黑体"/>
          <w:bCs/>
          <w:kern w:val="2"/>
          <w:sz w:val="32"/>
          <w:szCs w:val="32"/>
          <w:lang w:val="en-US" w:eastAsia="zh-CN" w:bidi="ar-SA"/>
        </w:rPr>
        <w:instrText xml:space="preserve"> PAGEREF _Toc18889 </w:instrText>
      </w:r>
      <w:r>
        <w:rPr>
          <w:rFonts w:hint="eastAsia" w:ascii="黑体" w:hAnsi="黑体" w:eastAsia="黑体" w:cs="黑体"/>
          <w:bCs/>
          <w:kern w:val="2"/>
          <w:sz w:val="32"/>
          <w:szCs w:val="32"/>
          <w:lang w:val="en-US" w:eastAsia="zh-CN" w:bidi="ar-SA"/>
        </w:rPr>
        <w:fldChar w:fldCharType="separate"/>
      </w:r>
      <w:r>
        <w:rPr>
          <w:rFonts w:hint="eastAsia" w:ascii="黑体" w:hAnsi="黑体" w:eastAsia="黑体" w:cs="黑体"/>
          <w:bCs/>
          <w:kern w:val="2"/>
          <w:sz w:val="32"/>
          <w:szCs w:val="32"/>
          <w:lang w:val="en-US" w:eastAsia="zh-CN" w:bidi="ar-SA"/>
        </w:rPr>
        <w:t>12</w:t>
      </w:r>
      <w:r>
        <w:rPr>
          <w:rFonts w:hint="eastAsia" w:ascii="黑体" w:hAnsi="黑体" w:eastAsia="黑体" w:cs="黑体"/>
          <w:bCs/>
          <w:kern w:val="2"/>
          <w:sz w:val="32"/>
          <w:szCs w:val="32"/>
          <w:lang w:val="en-US" w:eastAsia="zh-CN" w:bidi="ar-SA"/>
        </w:rPr>
        <w:fldChar w:fldCharType="end"/>
      </w:r>
      <w:r>
        <w:rPr>
          <w:rFonts w:hint="eastAsia" w:ascii="黑体" w:hAnsi="黑体" w:eastAsia="黑体" w:cs="黑体"/>
          <w:bCs/>
          <w:szCs w:val="32"/>
        </w:rPr>
        <w:fldChar w:fldCharType="end"/>
      </w:r>
    </w:p>
    <w:p>
      <w:pPr>
        <w:pStyle w:val="10"/>
        <w:tabs>
          <w:tab w:val="right" w:leader="dot" w:pos="8640"/>
        </w:tabs>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fldChar w:fldCharType="begin"/>
      </w:r>
      <w:r>
        <w:rPr>
          <w:rFonts w:hint="eastAsia" w:ascii="黑体" w:hAnsi="黑体" w:eastAsia="黑体" w:cs="黑体"/>
          <w:bCs/>
          <w:sz w:val="32"/>
          <w:szCs w:val="32"/>
          <w:lang w:val="en-US" w:eastAsia="zh-CN"/>
        </w:rPr>
        <w:instrText xml:space="preserve"> HYPERLINK \l _Toc20329 </w:instrText>
      </w:r>
      <w:r>
        <w:rPr>
          <w:rFonts w:hint="eastAsia" w:ascii="黑体" w:hAnsi="黑体" w:eastAsia="黑体" w:cs="黑体"/>
          <w:bCs/>
          <w:sz w:val="32"/>
          <w:szCs w:val="32"/>
          <w:lang w:val="en-US" w:eastAsia="zh-CN"/>
        </w:rPr>
        <w:fldChar w:fldCharType="separate"/>
      </w:r>
      <w:r>
        <w:rPr>
          <w:rFonts w:hint="eastAsia" w:ascii="黑体" w:hAnsi="黑体" w:eastAsia="黑体" w:cs="黑体"/>
          <w:bCs/>
          <w:sz w:val="32"/>
          <w:szCs w:val="32"/>
          <w:lang w:val="en-US" w:eastAsia="zh-CN"/>
        </w:rPr>
        <w:t>第三章  促进深汕人社制度有效对接</w:t>
      </w:r>
      <w:r>
        <w:rPr>
          <w:rFonts w:hint="eastAsia" w:ascii="黑体" w:hAnsi="黑体" w:eastAsia="黑体" w:cs="黑体"/>
          <w:bCs/>
          <w:sz w:val="32"/>
          <w:szCs w:val="32"/>
          <w:lang w:val="en-US" w:eastAsia="zh-CN"/>
        </w:rPr>
        <w:tab/>
      </w:r>
      <w:r>
        <w:rPr>
          <w:rFonts w:hint="eastAsia" w:ascii="黑体" w:hAnsi="黑体" w:eastAsia="黑体" w:cs="黑体"/>
          <w:bCs/>
          <w:sz w:val="32"/>
          <w:szCs w:val="32"/>
          <w:lang w:val="en-US" w:eastAsia="zh-CN"/>
        </w:rPr>
        <w:fldChar w:fldCharType="begin"/>
      </w:r>
      <w:r>
        <w:rPr>
          <w:rFonts w:hint="eastAsia" w:ascii="黑体" w:hAnsi="黑体" w:eastAsia="黑体" w:cs="黑体"/>
          <w:bCs/>
          <w:sz w:val="32"/>
          <w:szCs w:val="32"/>
          <w:lang w:val="en-US" w:eastAsia="zh-CN"/>
        </w:rPr>
        <w:instrText xml:space="preserve"> PAGEREF _Toc20329 </w:instrText>
      </w:r>
      <w:r>
        <w:rPr>
          <w:rFonts w:hint="eastAsia" w:ascii="黑体" w:hAnsi="黑体" w:eastAsia="黑体" w:cs="黑体"/>
          <w:bCs/>
          <w:sz w:val="32"/>
          <w:szCs w:val="32"/>
          <w:lang w:val="en-US" w:eastAsia="zh-CN"/>
        </w:rPr>
        <w:fldChar w:fldCharType="separate"/>
      </w:r>
      <w:r>
        <w:rPr>
          <w:rFonts w:hint="eastAsia" w:ascii="黑体" w:hAnsi="黑体" w:eastAsia="黑体" w:cs="黑体"/>
          <w:bCs/>
          <w:sz w:val="32"/>
          <w:szCs w:val="32"/>
          <w:lang w:val="en-US" w:eastAsia="zh-CN"/>
        </w:rPr>
        <w:t>17</w:t>
      </w:r>
      <w:r>
        <w:rPr>
          <w:rFonts w:hint="eastAsia" w:ascii="黑体" w:hAnsi="黑体" w:eastAsia="黑体" w:cs="黑体"/>
          <w:bCs/>
          <w:sz w:val="32"/>
          <w:szCs w:val="32"/>
          <w:lang w:val="en-US" w:eastAsia="zh-CN"/>
        </w:rPr>
        <w:fldChar w:fldCharType="end"/>
      </w:r>
      <w:r>
        <w:rPr>
          <w:rFonts w:hint="eastAsia" w:ascii="黑体" w:hAnsi="黑体" w:eastAsia="黑体" w:cs="黑体"/>
          <w:bCs/>
          <w:sz w:val="32"/>
          <w:szCs w:val="32"/>
          <w:lang w:val="en-US" w:eastAsia="zh-CN"/>
        </w:rPr>
        <w:fldChar w:fldCharType="end"/>
      </w:r>
    </w:p>
    <w:p>
      <w:pPr>
        <w:pStyle w:val="2"/>
        <w:tabs>
          <w:tab w:val="right" w:leader="dot" w:pos="8640"/>
        </w:tabs>
      </w:pPr>
      <w:r>
        <w:rPr>
          <w:rFonts w:hint="eastAsia" w:ascii="黑体" w:hAnsi="黑体" w:eastAsia="黑体" w:cs="黑体"/>
          <w:bCs/>
          <w:szCs w:val="32"/>
        </w:rPr>
        <w:fldChar w:fldCharType="begin"/>
      </w:r>
      <w:r>
        <w:rPr>
          <w:rFonts w:hint="eastAsia" w:ascii="黑体" w:hAnsi="黑体" w:eastAsia="黑体" w:cs="黑体"/>
          <w:bCs/>
          <w:szCs w:val="32"/>
        </w:rPr>
        <w:instrText xml:space="preserve"> HYPERLINK \l _Toc14195 </w:instrText>
      </w:r>
      <w:r>
        <w:rPr>
          <w:rFonts w:hint="eastAsia" w:ascii="黑体" w:hAnsi="黑体" w:eastAsia="黑体" w:cs="黑体"/>
          <w:bCs/>
          <w:szCs w:val="32"/>
        </w:rPr>
        <w:fldChar w:fldCharType="separate"/>
      </w:r>
      <w:r>
        <w:rPr>
          <w:rFonts w:hint="eastAsia" w:ascii="楷体" w:hAnsi="楷体" w:eastAsia="楷体" w:cs="楷体"/>
          <w:sz w:val="32"/>
          <w:szCs w:val="32"/>
        </w:rPr>
        <w:t>第一节  加强就业合作</w:t>
      </w:r>
      <w:r>
        <w:rPr>
          <w:rFonts w:hint="eastAsia" w:ascii="黑体" w:hAnsi="黑体" w:eastAsia="黑体" w:cs="黑体"/>
          <w:bCs/>
          <w:kern w:val="2"/>
          <w:sz w:val="32"/>
          <w:szCs w:val="32"/>
          <w:lang w:val="en-US" w:eastAsia="zh-CN" w:bidi="ar-SA"/>
        </w:rPr>
        <w:tab/>
      </w:r>
      <w:r>
        <w:rPr>
          <w:rFonts w:hint="eastAsia" w:ascii="黑体" w:hAnsi="黑体" w:eastAsia="黑体" w:cs="黑体"/>
          <w:bCs/>
          <w:kern w:val="2"/>
          <w:sz w:val="32"/>
          <w:szCs w:val="32"/>
          <w:lang w:val="en-US" w:eastAsia="zh-CN" w:bidi="ar-SA"/>
        </w:rPr>
        <w:fldChar w:fldCharType="begin"/>
      </w:r>
      <w:r>
        <w:rPr>
          <w:rFonts w:hint="eastAsia" w:ascii="黑体" w:hAnsi="黑体" w:eastAsia="黑体" w:cs="黑体"/>
          <w:bCs/>
          <w:kern w:val="2"/>
          <w:sz w:val="32"/>
          <w:szCs w:val="32"/>
          <w:lang w:val="en-US" w:eastAsia="zh-CN" w:bidi="ar-SA"/>
        </w:rPr>
        <w:instrText xml:space="preserve"> PAGEREF _Toc14195 </w:instrText>
      </w:r>
      <w:r>
        <w:rPr>
          <w:rFonts w:hint="eastAsia" w:ascii="黑体" w:hAnsi="黑体" w:eastAsia="黑体" w:cs="黑体"/>
          <w:bCs/>
          <w:kern w:val="2"/>
          <w:sz w:val="32"/>
          <w:szCs w:val="32"/>
          <w:lang w:val="en-US" w:eastAsia="zh-CN" w:bidi="ar-SA"/>
        </w:rPr>
        <w:fldChar w:fldCharType="separate"/>
      </w:r>
      <w:r>
        <w:rPr>
          <w:rFonts w:hint="eastAsia" w:ascii="黑体" w:hAnsi="黑体" w:eastAsia="黑体" w:cs="黑体"/>
          <w:bCs/>
          <w:kern w:val="2"/>
          <w:sz w:val="32"/>
          <w:szCs w:val="32"/>
          <w:lang w:val="en-US" w:eastAsia="zh-CN" w:bidi="ar-SA"/>
        </w:rPr>
        <w:t>17</w:t>
      </w:r>
      <w:r>
        <w:rPr>
          <w:rFonts w:hint="eastAsia" w:ascii="黑体" w:hAnsi="黑体" w:eastAsia="黑体" w:cs="黑体"/>
          <w:bCs/>
          <w:kern w:val="2"/>
          <w:sz w:val="32"/>
          <w:szCs w:val="32"/>
          <w:lang w:val="en-US" w:eastAsia="zh-CN" w:bidi="ar-SA"/>
        </w:rPr>
        <w:fldChar w:fldCharType="end"/>
      </w:r>
      <w:r>
        <w:rPr>
          <w:rFonts w:hint="eastAsia" w:ascii="黑体" w:hAnsi="黑体" w:eastAsia="黑体" w:cs="黑体"/>
          <w:bCs/>
          <w:szCs w:val="32"/>
        </w:rPr>
        <w:fldChar w:fldCharType="end"/>
      </w:r>
    </w:p>
    <w:p>
      <w:pPr>
        <w:pStyle w:val="2"/>
        <w:tabs>
          <w:tab w:val="right" w:leader="dot" w:pos="8640"/>
        </w:tabs>
      </w:pPr>
      <w:r>
        <w:rPr>
          <w:rFonts w:hint="eastAsia" w:ascii="黑体" w:hAnsi="黑体" w:eastAsia="黑体" w:cs="黑体"/>
          <w:bCs/>
          <w:szCs w:val="32"/>
        </w:rPr>
        <w:fldChar w:fldCharType="begin"/>
      </w:r>
      <w:r>
        <w:rPr>
          <w:rFonts w:hint="eastAsia" w:ascii="黑体" w:hAnsi="黑体" w:eastAsia="黑体" w:cs="黑体"/>
          <w:bCs/>
          <w:szCs w:val="32"/>
        </w:rPr>
        <w:instrText xml:space="preserve"> HYPERLINK \l _Toc2819 </w:instrText>
      </w:r>
      <w:r>
        <w:rPr>
          <w:rFonts w:hint="eastAsia" w:ascii="黑体" w:hAnsi="黑体" w:eastAsia="黑体" w:cs="黑体"/>
          <w:bCs/>
          <w:szCs w:val="32"/>
        </w:rPr>
        <w:fldChar w:fldCharType="separate"/>
      </w:r>
      <w:r>
        <w:rPr>
          <w:rFonts w:hint="eastAsia" w:ascii="楷体" w:hAnsi="楷体" w:eastAsia="楷体" w:cs="楷体"/>
          <w:sz w:val="32"/>
          <w:szCs w:val="32"/>
        </w:rPr>
        <w:t>第二节  加强人才合作</w:t>
      </w:r>
      <w:r>
        <w:rPr>
          <w:rFonts w:hint="eastAsia" w:ascii="黑体" w:hAnsi="黑体" w:eastAsia="黑体" w:cs="黑体"/>
          <w:bCs/>
          <w:kern w:val="2"/>
          <w:sz w:val="32"/>
          <w:szCs w:val="32"/>
          <w:lang w:val="en-US" w:eastAsia="zh-CN" w:bidi="ar-SA"/>
        </w:rPr>
        <w:tab/>
      </w:r>
      <w:r>
        <w:rPr>
          <w:rFonts w:hint="eastAsia" w:ascii="黑体" w:hAnsi="黑体" w:eastAsia="黑体" w:cs="黑体"/>
          <w:bCs/>
          <w:kern w:val="2"/>
          <w:sz w:val="32"/>
          <w:szCs w:val="32"/>
          <w:lang w:val="en-US" w:eastAsia="zh-CN" w:bidi="ar-SA"/>
        </w:rPr>
        <w:fldChar w:fldCharType="begin"/>
      </w:r>
      <w:r>
        <w:rPr>
          <w:rFonts w:hint="eastAsia" w:ascii="黑体" w:hAnsi="黑体" w:eastAsia="黑体" w:cs="黑体"/>
          <w:bCs/>
          <w:kern w:val="2"/>
          <w:sz w:val="32"/>
          <w:szCs w:val="32"/>
          <w:lang w:val="en-US" w:eastAsia="zh-CN" w:bidi="ar-SA"/>
        </w:rPr>
        <w:instrText xml:space="preserve"> PAGEREF _Toc2819 </w:instrText>
      </w:r>
      <w:r>
        <w:rPr>
          <w:rFonts w:hint="eastAsia" w:ascii="黑体" w:hAnsi="黑体" w:eastAsia="黑体" w:cs="黑体"/>
          <w:bCs/>
          <w:kern w:val="2"/>
          <w:sz w:val="32"/>
          <w:szCs w:val="32"/>
          <w:lang w:val="en-US" w:eastAsia="zh-CN" w:bidi="ar-SA"/>
        </w:rPr>
        <w:fldChar w:fldCharType="separate"/>
      </w:r>
      <w:r>
        <w:rPr>
          <w:rFonts w:hint="eastAsia" w:ascii="黑体" w:hAnsi="黑体" w:eastAsia="黑体" w:cs="黑体"/>
          <w:bCs/>
          <w:kern w:val="2"/>
          <w:sz w:val="32"/>
          <w:szCs w:val="32"/>
          <w:lang w:val="en-US" w:eastAsia="zh-CN" w:bidi="ar-SA"/>
        </w:rPr>
        <w:t>17</w:t>
      </w:r>
      <w:r>
        <w:rPr>
          <w:rFonts w:hint="eastAsia" w:ascii="黑体" w:hAnsi="黑体" w:eastAsia="黑体" w:cs="黑体"/>
          <w:bCs/>
          <w:kern w:val="2"/>
          <w:sz w:val="32"/>
          <w:szCs w:val="32"/>
          <w:lang w:val="en-US" w:eastAsia="zh-CN" w:bidi="ar-SA"/>
        </w:rPr>
        <w:fldChar w:fldCharType="end"/>
      </w:r>
      <w:r>
        <w:rPr>
          <w:rFonts w:hint="eastAsia" w:ascii="黑体" w:hAnsi="黑体" w:eastAsia="黑体" w:cs="黑体"/>
          <w:bCs/>
          <w:szCs w:val="32"/>
        </w:rPr>
        <w:fldChar w:fldCharType="end"/>
      </w:r>
    </w:p>
    <w:p>
      <w:pPr>
        <w:pStyle w:val="2"/>
        <w:tabs>
          <w:tab w:val="right" w:leader="dot" w:pos="8640"/>
        </w:tabs>
      </w:pPr>
      <w:r>
        <w:rPr>
          <w:rFonts w:hint="eastAsia" w:ascii="黑体" w:hAnsi="黑体" w:eastAsia="黑体" w:cs="黑体"/>
          <w:bCs/>
          <w:szCs w:val="32"/>
        </w:rPr>
        <w:fldChar w:fldCharType="begin"/>
      </w:r>
      <w:r>
        <w:rPr>
          <w:rFonts w:hint="eastAsia" w:ascii="黑体" w:hAnsi="黑体" w:eastAsia="黑体" w:cs="黑体"/>
          <w:bCs/>
          <w:szCs w:val="32"/>
        </w:rPr>
        <w:instrText xml:space="preserve"> HYPERLINK \l _Toc18933 </w:instrText>
      </w:r>
      <w:r>
        <w:rPr>
          <w:rFonts w:hint="eastAsia" w:ascii="黑体" w:hAnsi="黑体" w:eastAsia="黑体" w:cs="黑体"/>
          <w:bCs/>
          <w:szCs w:val="32"/>
        </w:rPr>
        <w:fldChar w:fldCharType="separate"/>
      </w:r>
      <w:r>
        <w:rPr>
          <w:rFonts w:hint="eastAsia" w:ascii="楷体" w:hAnsi="楷体" w:eastAsia="楷体" w:cs="楷体"/>
          <w:sz w:val="32"/>
          <w:szCs w:val="32"/>
        </w:rPr>
        <w:t>第三节  推进公共服务一体化发展</w:t>
      </w:r>
      <w:r>
        <w:rPr>
          <w:rFonts w:hint="eastAsia" w:ascii="黑体" w:hAnsi="黑体" w:eastAsia="黑体" w:cs="黑体"/>
          <w:bCs/>
          <w:kern w:val="2"/>
          <w:sz w:val="32"/>
          <w:szCs w:val="32"/>
          <w:lang w:val="en-US" w:eastAsia="zh-CN" w:bidi="ar-SA"/>
        </w:rPr>
        <w:tab/>
      </w:r>
      <w:r>
        <w:rPr>
          <w:rFonts w:hint="eastAsia" w:ascii="黑体" w:hAnsi="黑体" w:eastAsia="黑体" w:cs="黑体"/>
          <w:bCs/>
          <w:kern w:val="2"/>
          <w:sz w:val="32"/>
          <w:szCs w:val="32"/>
          <w:lang w:val="en-US" w:eastAsia="zh-CN" w:bidi="ar-SA"/>
        </w:rPr>
        <w:fldChar w:fldCharType="begin"/>
      </w:r>
      <w:r>
        <w:rPr>
          <w:rFonts w:hint="eastAsia" w:ascii="黑体" w:hAnsi="黑体" w:eastAsia="黑体" w:cs="黑体"/>
          <w:bCs/>
          <w:kern w:val="2"/>
          <w:sz w:val="32"/>
          <w:szCs w:val="32"/>
          <w:lang w:val="en-US" w:eastAsia="zh-CN" w:bidi="ar-SA"/>
        </w:rPr>
        <w:instrText xml:space="preserve"> PAGEREF _Toc18933 </w:instrText>
      </w:r>
      <w:r>
        <w:rPr>
          <w:rFonts w:hint="eastAsia" w:ascii="黑体" w:hAnsi="黑体" w:eastAsia="黑体" w:cs="黑体"/>
          <w:bCs/>
          <w:kern w:val="2"/>
          <w:sz w:val="32"/>
          <w:szCs w:val="32"/>
          <w:lang w:val="en-US" w:eastAsia="zh-CN" w:bidi="ar-SA"/>
        </w:rPr>
        <w:fldChar w:fldCharType="separate"/>
      </w:r>
      <w:r>
        <w:rPr>
          <w:rFonts w:hint="eastAsia" w:ascii="黑体" w:hAnsi="黑体" w:eastAsia="黑体" w:cs="黑体"/>
          <w:bCs/>
          <w:kern w:val="2"/>
          <w:sz w:val="32"/>
          <w:szCs w:val="32"/>
          <w:lang w:val="en-US" w:eastAsia="zh-CN" w:bidi="ar-SA"/>
        </w:rPr>
        <w:t>18</w:t>
      </w:r>
      <w:r>
        <w:rPr>
          <w:rFonts w:hint="eastAsia" w:ascii="黑体" w:hAnsi="黑体" w:eastAsia="黑体" w:cs="黑体"/>
          <w:bCs/>
          <w:kern w:val="2"/>
          <w:sz w:val="32"/>
          <w:szCs w:val="32"/>
          <w:lang w:val="en-US" w:eastAsia="zh-CN" w:bidi="ar-SA"/>
        </w:rPr>
        <w:fldChar w:fldCharType="end"/>
      </w:r>
      <w:r>
        <w:rPr>
          <w:rFonts w:hint="eastAsia" w:ascii="黑体" w:hAnsi="黑体" w:eastAsia="黑体" w:cs="黑体"/>
          <w:bCs/>
          <w:szCs w:val="32"/>
        </w:rPr>
        <w:fldChar w:fldCharType="end"/>
      </w:r>
    </w:p>
    <w:p>
      <w:pPr>
        <w:pStyle w:val="10"/>
        <w:tabs>
          <w:tab w:val="right" w:leader="dot" w:pos="8640"/>
        </w:tabs>
      </w:pPr>
      <w:r>
        <w:rPr>
          <w:rFonts w:hint="eastAsia" w:ascii="黑体" w:hAnsi="黑体" w:eastAsia="黑体" w:cs="黑体"/>
          <w:bCs/>
          <w:sz w:val="32"/>
          <w:szCs w:val="32"/>
          <w:lang w:val="en-US" w:eastAsia="zh-CN"/>
        </w:rPr>
        <w:fldChar w:fldCharType="begin"/>
      </w:r>
      <w:r>
        <w:rPr>
          <w:rFonts w:hint="eastAsia" w:ascii="黑体" w:hAnsi="黑体" w:eastAsia="黑体" w:cs="黑体"/>
          <w:bCs/>
          <w:sz w:val="32"/>
          <w:szCs w:val="32"/>
          <w:lang w:val="en-US" w:eastAsia="zh-CN"/>
        </w:rPr>
        <w:instrText xml:space="preserve"> HYPERLINK \l _Toc2604 </w:instrText>
      </w:r>
      <w:r>
        <w:rPr>
          <w:rFonts w:hint="eastAsia" w:ascii="黑体" w:hAnsi="黑体" w:eastAsia="黑体" w:cs="黑体"/>
          <w:bCs/>
          <w:sz w:val="32"/>
          <w:szCs w:val="32"/>
          <w:lang w:val="en-US" w:eastAsia="zh-CN"/>
        </w:rPr>
        <w:fldChar w:fldCharType="separate"/>
      </w:r>
      <w:r>
        <w:rPr>
          <w:rFonts w:hint="eastAsia" w:ascii="黑体" w:hAnsi="黑体" w:eastAsia="黑体" w:cs="黑体"/>
          <w:bCs/>
          <w:sz w:val="32"/>
          <w:szCs w:val="32"/>
          <w:lang w:val="en-US" w:eastAsia="zh-CN"/>
        </w:rPr>
        <w:t>第四章  实现更加充分更高质量就业</w:t>
      </w:r>
      <w:r>
        <w:rPr>
          <w:rFonts w:hint="eastAsia" w:ascii="黑体" w:hAnsi="黑体" w:eastAsia="黑体" w:cs="黑体"/>
          <w:bCs/>
          <w:sz w:val="32"/>
          <w:szCs w:val="32"/>
          <w:lang w:val="en-US" w:eastAsia="zh-CN"/>
        </w:rPr>
        <w:tab/>
      </w:r>
      <w:r>
        <w:rPr>
          <w:rFonts w:hint="eastAsia" w:ascii="黑体" w:hAnsi="黑体" w:eastAsia="黑体" w:cs="黑体"/>
          <w:bCs/>
          <w:sz w:val="32"/>
          <w:szCs w:val="32"/>
          <w:lang w:val="en-US" w:eastAsia="zh-CN"/>
        </w:rPr>
        <w:fldChar w:fldCharType="begin"/>
      </w:r>
      <w:r>
        <w:rPr>
          <w:rFonts w:hint="eastAsia" w:ascii="黑体" w:hAnsi="黑体" w:eastAsia="黑体" w:cs="黑体"/>
          <w:bCs/>
          <w:sz w:val="32"/>
          <w:szCs w:val="32"/>
          <w:lang w:val="en-US" w:eastAsia="zh-CN"/>
        </w:rPr>
        <w:instrText xml:space="preserve"> PAGEREF _Toc2604 </w:instrText>
      </w:r>
      <w:r>
        <w:rPr>
          <w:rFonts w:hint="eastAsia" w:ascii="黑体" w:hAnsi="黑体" w:eastAsia="黑体" w:cs="黑体"/>
          <w:bCs/>
          <w:sz w:val="32"/>
          <w:szCs w:val="32"/>
          <w:lang w:val="en-US" w:eastAsia="zh-CN"/>
        </w:rPr>
        <w:fldChar w:fldCharType="separate"/>
      </w:r>
      <w:r>
        <w:rPr>
          <w:rFonts w:hint="eastAsia" w:ascii="黑体" w:hAnsi="黑体" w:eastAsia="黑体" w:cs="黑体"/>
          <w:bCs/>
          <w:sz w:val="32"/>
          <w:szCs w:val="32"/>
          <w:lang w:val="en-US" w:eastAsia="zh-CN"/>
        </w:rPr>
        <w:t>19</w:t>
      </w:r>
      <w:r>
        <w:rPr>
          <w:rFonts w:hint="eastAsia" w:ascii="黑体" w:hAnsi="黑体" w:eastAsia="黑体" w:cs="黑体"/>
          <w:bCs/>
          <w:sz w:val="32"/>
          <w:szCs w:val="32"/>
          <w:lang w:val="en-US" w:eastAsia="zh-CN"/>
        </w:rPr>
        <w:fldChar w:fldCharType="end"/>
      </w:r>
      <w:r>
        <w:rPr>
          <w:rFonts w:hint="eastAsia" w:ascii="黑体" w:hAnsi="黑体" w:eastAsia="黑体" w:cs="黑体"/>
          <w:bCs/>
          <w:sz w:val="32"/>
          <w:szCs w:val="32"/>
          <w:lang w:val="en-US" w:eastAsia="zh-CN"/>
        </w:rPr>
        <w:fldChar w:fldCharType="end"/>
      </w:r>
    </w:p>
    <w:p>
      <w:pPr>
        <w:pStyle w:val="2"/>
        <w:tabs>
          <w:tab w:val="right" w:leader="dot" w:pos="8640"/>
        </w:tabs>
      </w:pPr>
      <w:r>
        <w:rPr>
          <w:rFonts w:hint="eastAsia" w:ascii="黑体" w:hAnsi="黑体" w:eastAsia="黑体" w:cs="黑体"/>
          <w:bCs/>
          <w:szCs w:val="32"/>
        </w:rPr>
        <w:fldChar w:fldCharType="begin"/>
      </w:r>
      <w:r>
        <w:rPr>
          <w:rFonts w:hint="eastAsia" w:ascii="黑体" w:hAnsi="黑体" w:eastAsia="黑体" w:cs="黑体"/>
          <w:bCs/>
          <w:szCs w:val="32"/>
        </w:rPr>
        <w:instrText xml:space="preserve"> HYPERLINK \l _Toc5271 </w:instrText>
      </w:r>
      <w:r>
        <w:rPr>
          <w:rFonts w:hint="eastAsia" w:ascii="黑体" w:hAnsi="黑体" w:eastAsia="黑体" w:cs="黑体"/>
          <w:bCs/>
          <w:szCs w:val="32"/>
        </w:rPr>
        <w:fldChar w:fldCharType="separate"/>
      </w:r>
      <w:r>
        <w:rPr>
          <w:rFonts w:hint="eastAsia" w:ascii="楷体" w:hAnsi="楷体" w:eastAsia="楷体" w:cs="楷体"/>
          <w:sz w:val="32"/>
          <w:szCs w:val="32"/>
        </w:rPr>
        <w:t>第一节  强化就业政策引导效能</w:t>
      </w:r>
      <w:r>
        <w:rPr>
          <w:rFonts w:hint="eastAsia" w:ascii="黑体" w:hAnsi="黑体" w:eastAsia="黑体" w:cs="黑体"/>
          <w:bCs/>
          <w:kern w:val="2"/>
          <w:sz w:val="32"/>
          <w:szCs w:val="32"/>
          <w:lang w:val="en-US" w:eastAsia="zh-CN" w:bidi="ar-SA"/>
        </w:rPr>
        <w:tab/>
      </w:r>
      <w:r>
        <w:rPr>
          <w:rFonts w:hint="eastAsia" w:ascii="黑体" w:hAnsi="黑体" w:eastAsia="黑体" w:cs="黑体"/>
          <w:bCs/>
          <w:kern w:val="2"/>
          <w:sz w:val="32"/>
          <w:szCs w:val="32"/>
          <w:lang w:val="en-US" w:eastAsia="zh-CN" w:bidi="ar-SA"/>
        </w:rPr>
        <w:fldChar w:fldCharType="begin"/>
      </w:r>
      <w:r>
        <w:rPr>
          <w:rFonts w:hint="eastAsia" w:ascii="黑体" w:hAnsi="黑体" w:eastAsia="黑体" w:cs="黑体"/>
          <w:bCs/>
          <w:kern w:val="2"/>
          <w:sz w:val="32"/>
          <w:szCs w:val="32"/>
          <w:lang w:val="en-US" w:eastAsia="zh-CN" w:bidi="ar-SA"/>
        </w:rPr>
        <w:instrText xml:space="preserve"> PAGEREF _Toc5271 </w:instrText>
      </w:r>
      <w:r>
        <w:rPr>
          <w:rFonts w:hint="eastAsia" w:ascii="黑体" w:hAnsi="黑体" w:eastAsia="黑体" w:cs="黑体"/>
          <w:bCs/>
          <w:kern w:val="2"/>
          <w:sz w:val="32"/>
          <w:szCs w:val="32"/>
          <w:lang w:val="en-US" w:eastAsia="zh-CN" w:bidi="ar-SA"/>
        </w:rPr>
        <w:fldChar w:fldCharType="separate"/>
      </w:r>
      <w:r>
        <w:rPr>
          <w:rFonts w:hint="eastAsia" w:ascii="黑体" w:hAnsi="黑体" w:eastAsia="黑体" w:cs="黑体"/>
          <w:bCs/>
          <w:kern w:val="2"/>
          <w:sz w:val="32"/>
          <w:szCs w:val="32"/>
          <w:lang w:val="en-US" w:eastAsia="zh-CN" w:bidi="ar-SA"/>
        </w:rPr>
        <w:t>19</w:t>
      </w:r>
      <w:r>
        <w:rPr>
          <w:rFonts w:hint="eastAsia" w:ascii="黑体" w:hAnsi="黑体" w:eastAsia="黑体" w:cs="黑体"/>
          <w:bCs/>
          <w:kern w:val="2"/>
          <w:sz w:val="32"/>
          <w:szCs w:val="32"/>
          <w:lang w:val="en-US" w:eastAsia="zh-CN" w:bidi="ar-SA"/>
        </w:rPr>
        <w:fldChar w:fldCharType="end"/>
      </w:r>
      <w:r>
        <w:rPr>
          <w:rFonts w:hint="eastAsia" w:ascii="黑体" w:hAnsi="黑体" w:eastAsia="黑体" w:cs="黑体"/>
          <w:bCs/>
          <w:szCs w:val="32"/>
        </w:rPr>
        <w:fldChar w:fldCharType="end"/>
      </w:r>
    </w:p>
    <w:p>
      <w:pPr>
        <w:pStyle w:val="2"/>
        <w:tabs>
          <w:tab w:val="right" w:leader="dot" w:pos="8640"/>
        </w:tabs>
      </w:pPr>
      <w:r>
        <w:rPr>
          <w:rFonts w:hint="eastAsia" w:ascii="黑体" w:hAnsi="黑体" w:eastAsia="黑体" w:cs="黑体"/>
          <w:bCs/>
          <w:szCs w:val="32"/>
        </w:rPr>
        <w:fldChar w:fldCharType="begin"/>
      </w:r>
      <w:r>
        <w:rPr>
          <w:rFonts w:hint="eastAsia" w:ascii="黑体" w:hAnsi="黑体" w:eastAsia="黑体" w:cs="黑体"/>
          <w:bCs/>
          <w:szCs w:val="32"/>
        </w:rPr>
        <w:instrText xml:space="preserve"> HYPERLINK \l _Toc3479 </w:instrText>
      </w:r>
      <w:r>
        <w:rPr>
          <w:rFonts w:hint="eastAsia" w:ascii="黑体" w:hAnsi="黑体" w:eastAsia="黑体" w:cs="黑体"/>
          <w:bCs/>
          <w:szCs w:val="32"/>
        </w:rPr>
        <w:fldChar w:fldCharType="separate"/>
      </w:r>
      <w:r>
        <w:rPr>
          <w:rFonts w:hint="eastAsia" w:ascii="楷体" w:hAnsi="楷体" w:eastAsia="楷体" w:cs="楷体"/>
          <w:sz w:val="32"/>
          <w:szCs w:val="32"/>
        </w:rPr>
        <w:t>第二节  促进创业带动就业</w:t>
      </w:r>
      <w:r>
        <w:rPr>
          <w:rFonts w:hint="eastAsia" w:ascii="黑体" w:hAnsi="黑体" w:eastAsia="黑体" w:cs="黑体"/>
          <w:bCs/>
          <w:kern w:val="2"/>
          <w:sz w:val="32"/>
          <w:szCs w:val="32"/>
          <w:lang w:val="en-US" w:eastAsia="zh-CN" w:bidi="ar-SA"/>
        </w:rPr>
        <w:tab/>
      </w:r>
      <w:r>
        <w:rPr>
          <w:rFonts w:hint="eastAsia" w:ascii="黑体" w:hAnsi="黑体" w:eastAsia="黑体" w:cs="黑体"/>
          <w:bCs/>
          <w:kern w:val="2"/>
          <w:sz w:val="32"/>
          <w:szCs w:val="32"/>
          <w:lang w:val="en-US" w:eastAsia="zh-CN" w:bidi="ar-SA"/>
        </w:rPr>
        <w:fldChar w:fldCharType="begin"/>
      </w:r>
      <w:r>
        <w:rPr>
          <w:rFonts w:hint="eastAsia" w:ascii="黑体" w:hAnsi="黑体" w:eastAsia="黑体" w:cs="黑体"/>
          <w:bCs/>
          <w:kern w:val="2"/>
          <w:sz w:val="32"/>
          <w:szCs w:val="32"/>
          <w:lang w:val="en-US" w:eastAsia="zh-CN" w:bidi="ar-SA"/>
        </w:rPr>
        <w:instrText xml:space="preserve"> PAGEREF _Toc3479 </w:instrText>
      </w:r>
      <w:r>
        <w:rPr>
          <w:rFonts w:hint="eastAsia" w:ascii="黑体" w:hAnsi="黑体" w:eastAsia="黑体" w:cs="黑体"/>
          <w:bCs/>
          <w:kern w:val="2"/>
          <w:sz w:val="32"/>
          <w:szCs w:val="32"/>
          <w:lang w:val="en-US" w:eastAsia="zh-CN" w:bidi="ar-SA"/>
        </w:rPr>
        <w:fldChar w:fldCharType="separate"/>
      </w:r>
      <w:r>
        <w:rPr>
          <w:rFonts w:hint="eastAsia" w:ascii="黑体" w:hAnsi="黑体" w:eastAsia="黑体" w:cs="黑体"/>
          <w:bCs/>
          <w:kern w:val="2"/>
          <w:sz w:val="32"/>
          <w:szCs w:val="32"/>
          <w:lang w:val="en-US" w:eastAsia="zh-CN" w:bidi="ar-SA"/>
        </w:rPr>
        <w:t>20</w:t>
      </w:r>
      <w:r>
        <w:rPr>
          <w:rFonts w:hint="eastAsia" w:ascii="黑体" w:hAnsi="黑体" w:eastAsia="黑体" w:cs="黑体"/>
          <w:bCs/>
          <w:kern w:val="2"/>
          <w:sz w:val="32"/>
          <w:szCs w:val="32"/>
          <w:lang w:val="en-US" w:eastAsia="zh-CN" w:bidi="ar-SA"/>
        </w:rPr>
        <w:fldChar w:fldCharType="end"/>
      </w:r>
      <w:r>
        <w:rPr>
          <w:rFonts w:hint="eastAsia" w:ascii="黑体" w:hAnsi="黑体" w:eastAsia="黑体" w:cs="黑体"/>
          <w:bCs/>
          <w:szCs w:val="32"/>
        </w:rPr>
        <w:fldChar w:fldCharType="end"/>
      </w:r>
    </w:p>
    <w:p>
      <w:pPr>
        <w:pStyle w:val="2"/>
        <w:tabs>
          <w:tab w:val="right" w:leader="dot" w:pos="8640"/>
        </w:tabs>
      </w:pPr>
      <w:r>
        <w:rPr>
          <w:rFonts w:hint="eastAsia" w:ascii="黑体" w:hAnsi="黑体" w:eastAsia="黑体" w:cs="黑体"/>
          <w:bCs/>
          <w:szCs w:val="32"/>
        </w:rPr>
        <w:fldChar w:fldCharType="begin"/>
      </w:r>
      <w:r>
        <w:rPr>
          <w:rFonts w:hint="eastAsia" w:ascii="黑体" w:hAnsi="黑体" w:eastAsia="黑体" w:cs="黑体"/>
          <w:bCs/>
          <w:szCs w:val="32"/>
        </w:rPr>
        <w:instrText xml:space="preserve"> HYPERLINK \l _Toc11650 </w:instrText>
      </w:r>
      <w:r>
        <w:rPr>
          <w:rFonts w:hint="eastAsia" w:ascii="黑体" w:hAnsi="黑体" w:eastAsia="黑体" w:cs="黑体"/>
          <w:bCs/>
          <w:szCs w:val="32"/>
        </w:rPr>
        <w:fldChar w:fldCharType="separate"/>
      </w:r>
      <w:r>
        <w:rPr>
          <w:rFonts w:hint="eastAsia" w:ascii="楷体" w:hAnsi="楷体" w:eastAsia="楷体" w:cs="楷体"/>
          <w:sz w:val="32"/>
          <w:szCs w:val="32"/>
        </w:rPr>
        <w:t>第三节  完善重点群体就业支持体系</w:t>
      </w:r>
      <w:r>
        <w:rPr>
          <w:rFonts w:hint="eastAsia" w:ascii="黑体" w:hAnsi="黑体" w:eastAsia="黑体" w:cs="黑体"/>
          <w:bCs/>
          <w:kern w:val="2"/>
          <w:sz w:val="32"/>
          <w:szCs w:val="32"/>
          <w:lang w:val="en-US" w:eastAsia="zh-CN" w:bidi="ar-SA"/>
        </w:rPr>
        <w:tab/>
      </w:r>
      <w:r>
        <w:rPr>
          <w:rFonts w:hint="eastAsia" w:ascii="黑体" w:hAnsi="黑体" w:eastAsia="黑体" w:cs="黑体"/>
          <w:bCs/>
          <w:kern w:val="2"/>
          <w:sz w:val="32"/>
          <w:szCs w:val="32"/>
          <w:lang w:val="en-US" w:eastAsia="zh-CN" w:bidi="ar-SA"/>
        </w:rPr>
        <w:fldChar w:fldCharType="begin"/>
      </w:r>
      <w:r>
        <w:rPr>
          <w:rFonts w:hint="eastAsia" w:ascii="黑体" w:hAnsi="黑体" w:eastAsia="黑体" w:cs="黑体"/>
          <w:bCs/>
          <w:kern w:val="2"/>
          <w:sz w:val="32"/>
          <w:szCs w:val="32"/>
          <w:lang w:val="en-US" w:eastAsia="zh-CN" w:bidi="ar-SA"/>
        </w:rPr>
        <w:instrText xml:space="preserve"> PAGEREF _Toc11650 </w:instrText>
      </w:r>
      <w:r>
        <w:rPr>
          <w:rFonts w:hint="eastAsia" w:ascii="黑体" w:hAnsi="黑体" w:eastAsia="黑体" w:cs="黑体"/>
          <w:bCs/>
          <w:kern w:val="2"/>
          <w:sz w:val="32"/>
          <w:szCs w:val="32"/>
          <w:lang w:val="en-US" w:eastAsia="zh-CN" w:bidi="ar-SA"/>
        </w:rPr>
        <w:fldChar w:fldCharType="separate"/>
      </w:r>
      <w:r>
        <w:rPr>
          <w:rFonts w:hint="eastAsia" w:ascii="黑体" w:hAnsi="黑体" w:eastAsia="黑体" w:cs="黑体"/>
          <w:bCs/>
          <w:kern w:val="2"/>
          <w:sz w:val="32"/>
          <w:szCs w:val="32"/>
          <w:lang w:val="en-US" w:eastAsia="zh-CN" w:bidi="ar-SA"/>
        </w:rPr>
        <w:t>20</w:t>
      </w:r>
      <w:r>
        <w:rPr>
          <w:rFonts w:hint="eastAsia" w:ascii="黑体" w:hAnsi="黑体" w:eastAsia="黑体" w:cs="黑体"/>
          <w:bCs/>
          <w:kern w:val="2"/>
          <w:sz w:val="32"/>
          <w:szCs w:val="32"/>
          <w:lang w:val="en-US" w:eastAsia="zh-CN" w:bidi="ar-SA"/>
        </w:rPr>
        <w:fldChar w:fldCharType="end"/>
      </w:r>
      <w:r>
        <w:rPr>
          <w:rFonts w:hint="eastAsia" w:ascii="黑体" w:hAnsi="黑体" w:eastAsia="黑体" w:cs="黑体"/>
          <w:bCs/>
          <w:szCs w:val="32"/>
        </w:rPr>
        <w:fldChar w:fldCharType="end"/>
      </w:r>
    </w:p>
    <w:p>
      <w:pPr>
        <w:pStyle w:val="2"/>
        <w:tabs>
          <w:tab w:val="right" w:leader="dot" w:pos="8640"/>
        </w:tabs>
      </w:pPr>
      <w:r>
        <w:rPr>
          <w:rFonts w:hint="eastAsia" w:ascii="黑体" w:hAnsi="黑体" w:eastAsia="黑体" w:cs="黑体"/>
          <w:bCs/>
          <w:szCs w:val="32"/>
        </w:rPr>
        <w:fldChar w:fldCharType="begin"/>
      </w:r>
      <w:r>
        <w:rPr>
          <w:rFonts w:hint="eastAsia" w:ascii="黑体" w:hAnsi="黑体" w:eastAsia="黑体" w:cs="黑体"/>
          <w:bCs/>
          <w:szCs w:val="32"/>
        </w:rPr>
        <w:instrText xml:space="preserve"> HYPERLINK \l _Toc29163 </w:instrText>
      </w:r>
      <w:r>
        <w:rPr>
          <w:rFonts w:hint="eastAsia" w:ascii="黑体" w:hAnsi="黑体" w:eastAsia="黑体" w:cs="黑体"/>
          <w:bCs/>
          <w:szCs w:val="32"/>
        </w:rPr>
        <w:fldChar w:fldCharType="separate"/>
      </w:r>
      <w:r>
        <w:rPr>
          <w:rFonts w:hint="eastAsia" w:ascii="楷体" w:hAnsi="楷体" w:eastAsia="楷体" w:cs="楷体"/>
          <w:sz w:val="32"/>
          <w:szCs w:val="32"/>
        </w:rPr>
        <w:t>第四节  推进全方位公共就业服务</w:t>
      </w:r>
      <w:r>
        <w:rPr>
          <w:rFonts w:hint="eastAsia" w:ascii="黑体" w:hAnsi="黑体" w:eastAsia="黑体" w:cs="黑体"/>
          <w:bCs/>
          <w:kern w:val="2"/>
          <w:sz w:val="32"/>
          <w:szCs w:val="32"/>
          <w:lang w:val="en-US" w:eastAsia="zh-CN" w:bidi="ar-SA"/>
        </w:rPr>
        <w:tab/>
      </w:r>
      <w:r>
        <w:rPr>
          <w:rFonts w:hint="eastAsia" w:ascii="黑体" w:hAnsi="黑体" w:eastAsia="黑体" w:cs="黑体"/>
          <w:bCs/>
          <w:kern w:val="2"/>
          <w:sz w:val="32"/>
          <w:szCs w:val="32"/>
          <w:lang w:val="en-US" w:eastAsia="zh-CN" w:bidi="ar-SA"/>
        </w:rPr>
        <w:fldChar w:fldCharType="begin"/>
      </w:r>
      <w:r>
        <w:rPr>
          <w:rFonts w:hint="eastAsia" w:ascii="黑体" w:hAnsi="黑体" w:eastAsia="黑体" w:cs="黑体"/>
          <w:bCs/>
          <w:kern w:val="2"/>
          <w:sz w:val="32"/>
          <w:szCs w:val="32"/>
          <w:lang w:val="en-US" w:eastAsia="zh-CN" w:bidi="ar-SA"/>
        </w:rPr>
        <w:instrText xml:space="preserve"> PAGEREF _Toc29163 </w:instrText>
      </w:r>
      <w:r>
        <w:rPr>
          <w:rFonts w:hint="eastAsia" w:ascii="黑体" w:hAnsi="黑体" w:eastAsia="黑体" w:cs="黑体"/>
          <w:bCs/>
          <w:kern w:val="2"/>
          <w:sz w:val="32"/>
          <w:szCs w:val="32"/>
          <w:lang w:val="en-US" w:eastAsia="zh-CN" w:bidi="ar-SA"/>
        </w:rPr>
        <w:fldChar w:fldCharType="separate"/>
      </w:r>
      <w:r>
        <w:rPr>
          <w:rFonts w:hint="eastAsia" w:ascii="黑体" w:hAnsi="黑体" w:eastAsia="黑体" w:cs="黑体"/>
          <w:bCs/>
          <w:kern w:val="2"/>
          <w:sz w:val="32"/>
          <w:szCs w:val="32"/>
          <w:lang w:val="en-US" w:eastAsia="zh-CN" w:bidi="ar-SA"/>
        </w:rPr>
        <w:t>21</w:t>
      </w:r>
      <w:r>
        <w:rPr>
          <w:rFonts w:hint="eastAsia" w:ascii="黑体" w:hAnsi="黑体" w:eastAsia="黑体" w:cs="黑体"/>
          <w:bCs/>
          <w:kern w:val="2"/>
          <w:sz w:val="32"/>
          <w:szCs w:val="32"/>
          <w:lang w:val="en-US" w:eastAsia="zh-CN" w:bidi="ar-SA"/>
        </w:rPr>
        <w:fldChar w:fldCharType="end"/>
      </w:r>
      <w:r>
        <w:rPr>
          <w:rFonts w:hint="eastAsia" w:ascii="黑体" w:hAnsi="黑体" w:eastAsia="黑体" w:cs="黑体"/>
          <w:bCs/>
          <w:szCs w:val="32"/>
        </w:rPr>
        <w:fldChar w:fldCharType="end"/>
      </w:r>
    </w:p>
    <w:p>
      <w:pPr>
        <w:pStyle w:val="10"/>
        <w:tabs>
          <w:tab w:val="right" w:leader="dot" w:pos="8640"/>
        </w:tabs>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fldChar w:fldCharType="begin"/>
      </w:r>
      <w:r>
        <w:rPr>
          <w:rFonts w:hint="eastAsia" w:ascii="黑体" w:hAnsi="黑体" w:eastAsia="黑体" w:cs="黑体"/>
          <w:bCs/>
          <w:sz w:val="32"/>
          <w:szCs w:val="32"/>
          <w:lang w:val="en-US" w:eastAsia="zh-CN"/>
        </w:rPr>
        <w:instrText xml:space="preserve"> HYPERLINK \l _Toc10592 </w:instrText>
      </w:r>
      <w:r>
        <w:rPr>
          <w:rFonts w:hint="eastAsia" w:ascii="黑体" w:hAnsi="黑体" w:eastAsia="黑体" w:cs="黑体"/>
          <w:bCs/>
          <w:sz w:val="32"/>
          <w:szCs w:val="32"/>
          <w:lang w:val="en-US" w:eastAsia="zh-CN"/>
        </w:rPr>
        <w:fldChar w:fldCharType="separate"/>
      </w:r>
      <w:r>
        <w:rPr>
          <w:rFonts w:hint="eastAsia" w:ascii="黑体" w:hAnsi="黑体" w:eastAsia="黑体" w:cs="黑体"/>
          <w:bCs/>
          <w:sz w:val="32"/>
          <w:szCs w:val="32"/>
          <w:lang w:val="en-US" w:eastAsia="zh-CN"/>
        </w:rPr>
        <w:t>第五章  建设全覆盖可持续的多层次社会保障体系</w:t>
      </w:r>
      <w:r>
        <w:rPr>
          <w:rFonts w:hint="eastAsia" w:ascii="黑体" w:hAnsi="黑体" w:eastAsia="黑体" w:cs="黑体"/>
          <w:bCs/>
          <w:sz w:val="32"/>
          <w:szCs w:val="32"/>
          <w:lang w:val="en-US" w:eastAsia="zh-CN"/>
        </w:rPr>
        <w:tab/>
      </w:r>
      <w:r>
        <w:rPr>
          <w:rFonts w:hint="eastAsia" w:ascii="黑体" w:hAnsi="黑体" w:eastAsia="黑体" w:cs="黑体"/>
          <w:bCs/>
          <w:sz w:val="32"/>
          <w:szCs w:val="32"/>
          <w:lang w:val="en-US" w:eastAsia="zh-CN"/>
        </w:rPr>
        <w:fldChar w:fldCharType="begin"/>
      </w:r>
      <w:r>
        <w:rPr>
          <w:rFonts w:hint="eastAsia" w:ascii="黑体" w:hAnsi="黑体" w:eastAsia="黑体" w:cs="黑体"/>
          <w:bCs/>
          <w:sz w:val="32"/>
          <w:szCs w:val="32"/>
          <w:lang w:val="en-US" w:eastAsia="zh-CN"/>
        </w:rPr>
        <w:instrText xml:space="preserve"> PAGEREF _Toc10592 </w:instrText>
      </w:r>
      <w:r>
        <w:rPr>
          <w:rFonts w:hint="eastAsia" w:ascii="黑体" w:hAnsi="黑体" w:eastAsia="黑体" w:cs="黑体"/>
          <w:bCs/>
          <w:sz w:val="32"/>
          <w:szCs w:val="32"/>
          <w:lang w:val="en-US" w:eastAsia="zh-CN"/>
        </w:rPr>
        <w:fldChar w:fldCharType="separate"/>
      </w:r>
      <w:r>
        <w:rPr>
          <w:rFonts w:hint="eastAsia" w:ascii="黑体" w:hAnsi="黑体" w:eastAsia="黑体" w:cs="黑体"/>
          <w:bCs/>
          <w:sz w:val="32"/>
          <w:szCs w:val="32"/>
          <w:lang w:val="en-US" w:eastAsia="zh-CN"/>
        </w:rPr>
        <w:t>23</w:t>
      </w:r>
      <w:r>
        <w:rPr>
          <w:rFonts w:hint="eastAsia" w:ascii="黑体" w:hAnsi="黑体" w:eastAsia="黑体" w:cs="黑体"/>
          <w:bCs/>
          <w:sz w:val="32"/>
          <w:szCs w:val="32"/>
          <w:lang w:val="en-US" w:eastAsia="zh-CN"/>
        </w:rPr>
        <w:fldChar w:fldCharType="end"/>
      </w:r>
      <w:r>
        <w:rPr>
          <w:rFonts w:hint="eastAsia" w:ascii="黑体" w:hAnsi="黑体" w:eastAsia="黑体" w:cs="黑体"/>
          <w:bCs/>
          <w:sz w:val="32"/>
          <w:szCs w:val="32"/>
          <w:lang w:val="en-US" w:eastAsia="zh-CN"/>
        </w:rPr>
        <w:fldChar w:fldCharType="end"/>
      </w:r>
    </w:p>
    <w:p>
      <w:pPr>
        <w:pStyle w:val="2"/>
        <w:tabs>
          <w:tab w:val="right" w:leader="dot" w:pos="8640"/>
        </w:tabs>
      </w:pPr>
      <w:r>
        <w:rPr>
          <w:rFonts w:hint="eastAsia" w:ascii="黑体" w:hAnsi="黑体" w:eastAsia="黑体" w:cs="黑体"/>
          <w:bCs/>
          <w:szCs w:val="32"/>
        </w:rPr>
        <w:fldChar w:fldCharType="begin"/>
      </w:r>
      <w:r>
        <w:rPr>
          <w:rFonts w:hint="eastAsia" w:ascii="黑体" w:hAnsi="黑体" w:eastAsia="黑体" w:cs="黑体"/>
          <w:bCs/>
          <w:szCs w:val="32"/>
        </w:rPr>
        <w:instrText xml:space="preserve"> HYPERLINK \l _Toc24930 </w:instrText>
      </w:r>
      <w:r>
        <w:rPr>
          <w:rFonts w:hint="eastAsia" w:ascii="黑体" w:hAnsi="黑体" w:eastAsia="黑体" w:cs="黑体"/>
          <w:bCs/>
          <w:szCs w:val="32"/>
        </w:rPr>
        <w:fldChar w:fldCharType="separate"/>
      </w:r>
      <w:r>
        <w:rPr>
          <w:rFonts w:hint="eastAsia" w:ascii="楷体" w:hAnsi="楷体" w:eastAsia="楷体" w:cs="楷体"/>
          <w:sz w:val="32"/>
          <w:szCs w:val="32"/>
        </w:rPr>
        <w:t>第一节  促进全民享有社会保障</w:t>
      </w:r>
      <w:r>
        <w:rPr>
          <w:rFonts w:hint="eastAsia" w:ascii="黑体" w:hAnsi="黑体" w:eastAsia="黑体" w:cs="黑体"/>
          <w:bCs/>
          <w:kern w:val="2"/>
          <w:sz w:val="32"/>
          <w:szCs w:val="32"/>
          <w:lang w:val="en-US" w:eastAsia="zh-CN" w:bidi="ar-SA"/>
        </w:rPr>
        <w:tab/>
      </w:r>
      <w:r>
        <w:rPr>
          <w:rFonts w:hint="eastAsia" w:ascii="黑体" w:hAnsi="黑体" w:eastAsia="黑体" w:cs="黑体"/>
          <w:bCs/>
          <w:kern w:val="2"/>
          <w:sz w:val="32"/>
          <w:szCs w:val="32"/>
          <w:lang w:val="en-US" w:eastAsia="zh-CN" w:bidi="ar-SA"/>
        </w:rPr>
        <w:fldChar w:fldCharType="begin"/>
      </w:r>
      <w:r>
        <w:rPr>
          <w:rFonts w:hint="eastAsia" w:ascii="黑体" w:hAnsi="黑体" w:eastAsia="黑体" w:cs="黑体"/>
          <w:bCs/>
          <w:kern w:val="2"/>
          <w:sz w:val="32"/>
          <w:szCs w:val="32"/>
          <w:lang w:val="en-US" w:eastAsia="zh-CN" w:bidi="ar-SA"/>
        </w:rPr>
        <w:instrText xml:space="preserve"> PAGEREF _Toc24930 </w:instrText>
      </w:r>
      <w:r>
        <w:rPr>
          <w:rFonts w:hint="eastAsia" w:ascii="黑体" w:hAnsi="黑体" w:eastAsia="黑体" w:cs="黑体"/>
          <w:bCs/>
          <w:kern w:val="2"/>
          <w:sz w:val="32"/>
          <w:szCs w:val="32"/>
          <w:lang w:val="en-US" w:eastAsia="zh-CN" w:bidi="ar-SA"/>
        </w:rPr>
        <w:fldChar w:fldCharType="separate"/>
      </w:r>
      <w:r>
        <w:rPr>
          <w:rFonts w:hint="eastAsia" w:ascii="黑体" w:hAnsi="黑体" w:eastAsia="黑体" w:cs="黑体"/>
          <w:bCs/>
          <w:kern w:val="2"/>
          <w:sz w:val="32"/>
          <w:szCs w:val="32"/>
          <w:lang w:val="en-US" w:eastAsia="zh-CN" w:bidi="ar-SA"/>
        </w:rPr>
        <w:t>23</w:t>
      </w:r>
      <w:r>
        <w:rPr>
          <w:rFonts w:hint="eastAsia" w:ascii="黑体" w:hAnsi="黑体" w:eastAsia="黑体" w:cs="黑体"/>
          <w:bCs/>
          <w:kern w:val="2"/>
          <w:sz w:val="32"/>
          <w:szCs w:val="32"/>
          <w:lang w:val="en-US" w:eastAsia="zh-CN" w:bidi="ar-SA"/>
        </w:rPr>
        <w:fldChar w:fldCharType="end"/>
      </w:r>
      <w:r>
        <w:rPr>
          <w:rFonts w:hint="eastAsia" w:ascii="黑体" w:hAnsi="黑体" w:eastAsia="黑体" w:cs="黑体"/>
          <w:bCs/>
          <w:szCs w:val="32"/>
        </w:rPr>
        <w:fldChar w:fldCharType="end"/>
      </w:r>
    </w:p>
    <w:p>
      <w:pPr>
        <w:pStyle w:val="2"/>
        <w:tabs>
          <w:tab w:val="right" w:leader="dot" w:pos="8640"/>
        </w:tabs>
      </w:pPr>
      <w:r>
        <w:rPr>
          <w:rFonts w:hint="eastAsia" w:ascii="黑体" w:hAnsi="黑体" w:eastAsia="黑体" w:cs="黑体"/>
          <w:bCs/>
          <w:szCs w:val="32"/>
        </w:rPr>
        <w:fldChar w:fldCharType="begin"/>
      </w:r>
      <w:r>
        <w:rPr>
          <w:rFonts w:hint="eastAsia" w:ascii="黑体" w:hAnsi="黑体" w:eastAsia="黑体" w:cs="黑体"/>
          <w:bCs/>
          <w:szCs w:val="32"/>
        </w:rPr>
        <w:instrText xml:space="preserve"> HYPERLINK \l _Toc6383 </w:instrText>
      </w:r>
      <w:r>
        <w:rPr>
          <w:rFonts w:hint="eastAsia" w:ascii="黑体" w:hAnsi="黑体" w:eastAsia="黑体" w:cs="黑体"/>
          <w:bCs/>
          <w:szCs w:val="32"/>
        </w:rPr>
        <w:fldChar w:fldCharType="separate"/>
      </w:r>
      <w:r>
        <w:rPr>
          <w:rFonts w:hint="eastAsia" w:ascii="楷体" w:hAnsi="楷体" w:eastAsia="楷体" w:cs="楷体"/>
          <w:sz w:val="32"/>
          <w:szCs w:val="32"/>
        </w:rPr>
        <w:t>第二节  完善社会保障制度体系</w:t>
      </w:r>
      <w:r>
        <w:rPr>
          <w:rFonts w:hint="eastAsia" w:ascii="黑体" w:hAnsi="黑体" w:eastAsia="黑体" w:cs="黑体"/>
          <w:bCs/>
          <w:kern w:val="2"/>
          <w:sz w:val="32"/>
          <w:szCs w:val="32"/>
          <w:lang w:val="en-US" w:eastAsia="zh-CN" w:bidi="ar-SA"/>
        </w:rPr>
        <w:tab/>
      </w:r>
      <w:r>
        <w:rPr>
          <w:rFonts w:hint="eastAsia" w:ascii="黑体" w:hAnsi="黑体" w:eastAsia="黑体" w:cs="黑体"/>
          <w:bCs/>
          <w:kern w:val="2"/>
          <w:sz w:val="32"/>
          <w:szCs w:val="32"/>
          <w:lang w:val="en-US" w:eastAsia="zh-CN" w:bidi="ar-SA"/>
        </w:rPr>
        <w:fldChar w:fldCharType="begin"/>
      </w:r>
      <w:r>
        <w:rPr>
          <w:rFonts w:hint="eastAsia" w:ascii="黑体" w:hAnsi="黑体" w:eastAsia="黑体" w:cs="黑体"/>
          <w:bCs/>
          <w:kern w:val="2"/>
          <w:sz w:val="32"/>
          <w:szCs w:val="32"/>
          <w:lang w:val="en-US" w:eastAsia="zh-CN" w:bidi="ar-SA"/>
        </w:rPr>
        <w:instrText xml:space="preserve"> PAGEREF _Toc6383 </w:instrText>
      </w:r>
      <w:r>
        <w:rPr>
          <w:rFonts w:hint="eastAsia" w:ascii="黑体" w:hAnsi="黑体" w:eastAsia="黑体" w:cs="黑体"/>
          <w:bCs/>
          <w:kern w:val="2"/>
          <w:sz w:val="32"/>
          <w:szCs w:val="32"/>
          <w:lang w:val="en-US" w:eastAsia="zh-CN" w:bidi="ar-SA"/>
        </w:rPr>
        <w:fldChar w:fldCharType="separate"/>
      </w:r>
      <w:r>
        <w:rPr>
          <w:rFonts w:hint="eastAsia" w:ascii="黑体" w:hAnsi="黑体" w:eastAsia="黑体" w:cs="黑体"/>
          <w:bCs/>
          <w:kern w:val="2"/>
          <w:sz w:val="32"/>
          <w:szCs w:val="32"/>
          <w:lang w:val="en-US" w:eastAsia="zh-CN" w:bidi="ar-SA"/>
        </w:rPr>
        <w:t>24</w:t>
      </w:r>
      <w:r>
        <w:rPr>
          <w:rFonts w:hint="eastAsia" w:ascii="黑体" w:hAnsi="黑体" w:eastAsia="黑体" w:cs="黑体"/>
          <w:bCs/>
          <w:kern w:val="2"/>
          <w:sz w:val="32"/>
          <w:szCs w:val="32"/>
          <w:lang w:val="en-US" w:eastAsia="zh-CN" w:bidi="ar-SA"/>
        </w:rPr>
        <w:fldChar w:fldCharType="end"/>
      </w:r>
      <w:r>
        <w:rPr>
          <w:rFonts w:hint="eastAsia" w:ascii="黑体" w:hAnsi="黑体" w:eastAsia="黑体" w:cs="黑体"/>
          <w:bCs/>
          <w:szCs w:val="32"/>
        </w:rPr>
        <w:fldChar w:fldCharType="end"/>
      </w:r>
    </w:p>
    <w:p>
      <w:pPr>
        <w:pStyle w:val="2"/>
        <w:tabs>
          <w:tab w:val="right" w:leader="dot" w:pos="8640"/>
        </w:tabs>
      </w:pPr>
      <w:r>
        <w:rPr>
          <w:rFonts w:hint="eastAsia" w:ascii="黑体" w:hAnsi="黑体" w:eastAsia="黑体" w:cs="黑体"/>
          <w:bCs/>
          <w:szCs w:val="32"/>
        </w:rPr>
        <w:fldChar w:fldCharType="begin"/>
      </w:r>
      <w:r>
        <w:rPr>
          <w:rFonts w:hint="eastAsia" w:ascii="黑体" w:hAnsi="黑体" w:eastAsia="黑体" w:cs="黑体"/>
          <w:bCs/>
          <w:szCs w:val="32"/>
        </w:rPr>
        <w:instrText xml:space="preserve"> HYPERLINK \l _Toc9085 </w:instrText>
      </w:r>
      <w:r>
        <w:rPr>
          <w:rFonts w:hint="eastAsia" w:ascii="黑体" w:hAnsi="黑体" w:eastAsia="黑体" w:cs="黑体"/>
          <w:bCs/>
          <w:szCs w:val="32"/>
        </w:rPr>
        <w:fldChar w:fldCharType="separate"/>
      </w:r>
      <w:r>
        <w:rPr>
          <w:rFonts w:hint="eastAsia" w:ascii="楷体" w:hAnsi="楷体" w:eastAsia="楷体" w:cs="楷体"/>
          <w:sz w:val="32"/>
          <w:szCs w:val="32"/>
        </w:rPr>
        <w:t>第三节  完善社会保障待遇调整机制</w:t>
      </w:r>
      <w:r>
        <w:rPr>
          <w:rFonts w:hint="eastAsia" w:ascii="黑体" w:hAnsi="黑体" w:eastAsia="黑体" w:cs="黑体"/>
          <w:bCs/>
          <w:kern w:val="2"/>
          <w:sz w:val="32"/>
          <w:szCs w:val="32"/>
          <w:lang w:val="en-US" w:eastAsia="zh-CN" w:bidi="ar-SA"/>
        </w:rPr>
        <w:tab/>
      </w:r>
      <w:r>
        <w:rPr>
          <w:rFonts w:hint="eastAsia" w:ascii="黑体" w:hAnsi="黑体" w:eastAsia="黑体" w:cs="黑体"/>
          <w:bCs/>
          <w:kern w:val="2"/>
          <w:sz w:val="32"/>
          <w:szCs w:val="32"/>
          <w:lang w:val="en-US" w:eastAsia="zh-CN" w:bidi="ar-SA"/>
        </w:rPr>
        <w:fldChar w:fldCharType="begin"/>
      </w:r>
      <w:r>
        <w:rPr>
          <w:rFonts w:hint="eastAsia" w:ascii="黑体" w:hAnsi="黑体" w:eastAsia="黑体" w:cs="黑体"/>
          <w:bCs/>
          <w:kern w:val="2"/>
          <w:sz w:val="32"/>
          <w:szCs w:val="32"/>
          <w:lang w:val="en-US" w:eastAsia="zh-CN" w:bidi="ar-SA"/>
        </w:rPr>
        <w:instrText xml:space="preserve"> PAGEREF _Toc9085 </w:instrText>
      </w:r>
      <w:r>
        <w:rPr>
          <w:rFonts w:hint="eastAsia" w:ascii="黑体" w:hAnsi="黑体" w:eastAsia="黑体" w:cs="黑体"/>
          <w:bCs/>
          <w:kern w:val="2"/>
          <w:sz w:val="32"/>
          <w:szCs w:val="32"/>
          <w:lang w:val="en-US" w:eastAsia="zh-CN" w:bidi="ar-SA"/>
        </w:rPr>
        <w:fldChar w:fldCharType="separate"/>
      </w:r>
      <w:r>
        <w:rPr>
          <w:rFonts w:hint="eastAsia" w:ascii="黑体" w:hAnsi="黑体" w:eastAsia="黑体" w:cs="黑体"/>
          <w:bCs/>
          <w:kern w:val="2"/>
          <w:sz w:val="32"/>
          <w:szCs w:val="32"/>
          <w:lang w:val="en-US" w:eastAsia="zh-CN" w:bidi="ar-SA"/>
        </w:rPr>
        <w:t>26</w:t>
      </w:r>
      <w:r>
        <w:rPr>
          <w:rFonts w:hint="eastAsia" w:ascii="黑体" w:hAnsi="黑体" w:eastAsia="黑体" w:cs="黑体"/>
          <w:bCs/>
          <w:kern w:val="2"/>
          <w:sz w:val="32"/>
          <w:szCs w:val="32"/>
          <w:lang w:val="en-US" w:eastAsia="zh-CN" w:bidi="ar-SA"/>
        </w:rPr>
        <w:fldChar w:fldCharType="end"/>
      </w:r>
      <w:r>
        <w:rPr>
          <w:rFonts w:hint="eastAsia" w:ascii="黑体" w:hAnsi="黑体" w:eastAsia="黑体" w:cs="黑体"/>
          <w:bCs/>
          <w:szCs w:val="32"/>
        </w:rPr>
        <w:fldChar w:fldCharType="end"/>
      </w:r>
    </w:p>
    <w:p>
      <w:pPr>
        <w:pStyle w:val="2"/>
        <w:tabs>
          <w:tab w:val="right" w:leader="dot" w:pos="8640"/>
        </w:tabs>
      </w:pPr>
      <w:r>
        <w:rPr>
          <w:rFonts w:hint="eastAsia" w:ascii="黑体" w:hAnsi="黑体" w:eastAsia="黑体" w:cs="黑体"/>
          <w:bCs/>
          <w:szCs w:val="32"/>
        </w:rPr>
        <w:fldChar w:fldCharType="begin"/>
      </w:r>
      <w:r>
        <w:rPr>
          <w:rFonts w:hint="eastAsia" w:ascii="黑体" w:hAnsi="黑体" w:eastAsia="黑体" w:cs="黑体"/>
          <w:bCs/>
          <w:szCs w:val="32"/>
        </w:rPr>
        <w:instrText xml:space="preserve"> HYPERLINK \l _Toc16480 </w:instrText>
      </w:r>
      <w:r>
        <w:rPr>
          <w:rFonts w:hint="eastAsia" w:ascii="黑体" w:hAnsi="黑体" w:eastAsia="黑体" w:cs="黑体"/>
          <w:bCs/>
          <w:szCs w:val="32"/>
        </w:rPr>
        <w:fldChar w:fldCharType="separate"/>
      </w:r>
      <w:r>
        <w:rPr>
          <w:rFonts w:hint="eastAsia" w:ascii="楷体" w:hAnsi="楷体" w:eastAsia="楷体" w:cs="楷体"/>
          <w:sz w:val="32"/>
          <w:szCs w:val="32"/>
        </w:rPr>
        <w:t>第</w:t>
      </w:r>
      <w:r>
        <w:rPr>
          <w:rFonts w:hint="eastAsia" w:ascii="楷体" w:hAnsi="楷体" w:eastAsia="楷体" w:cs="楷体"/>
          <w:sz w:val="32"/>
          <w:szCs w:val="32"/>
          <w:lang w:eastAsia="zh-CN"/>
        </w:rPr>
        <w:t>四</w:t>
      </w:r>
      <w:r>
        <w:rPr>
          <w:rFonts w:hint="eastAsia" w:ascii="楷体" w:hAnsi="楷体" w:eastAsia="楷体" w:cs="楷体"/>
          <w:sz w:val="32"/>
          <w:szCs w:val="32"/>
        </w:rPr>
        <w:t xml:space="preserve">节 </w:t>
      </w:r>
      <w:r>
        <w:rPr>
          <w:rFonts w:hint="eastAsia" w:ascii="楷体" w:hAnsi="楷体" w:eastAsia="楷体" w:cs="楷体"/>
          <w:sz w:val="32"/>
          <w:szCs w:val="32"/>
          <w:lang w:val="en-US" w:eastAsia="zh-CN"/>
        </w:rPr>
        <w:t xml:space="preserve"> </w:t>
      </w:r>
      <w:r>
        <w:rPr>
          <w:rFonts w:hint="eastAsia" w:ascii="楷体" w:hAnsi="楷体" w:eastAsia="楷体" w:cs="楷体"/>
          <w:sz w:val="32"/>
          <w:szCs w:val="32"/>
        </w:rPr>
        <w:t>提升社会保险经办服务水平</w:t>
      </w:r>
      <w:r>
        <w:rPr>
          <w:rFonts w:hint="eastAsia" w:ascii="黑体" w:hAnsi="黑体" w:eastAsia="黑体" w:cs="黑体"/>
          <w:bCs/>
          <w:kern w:val="2"/>
          <w:sz w:val="32"/>
          <w:szCs w:val="32"/>
          <w:lang w:val="en-US" w:eastAsia="zh-CN" w:bidi="ar-SA"/>
        </w:rPr>
        <w:tab/>
      </w:r>
      <w:r>
        <w:rPr>
          <w:rFonts w:hint="eastAsia" w:ascii="黑体" w:hAnsi="黑体" w:eastAsia="黑体" w:cs="黑体"/>
          <w:bCs/>
          <w:kern w:val="2"/>
          <w:sz w:val="32"/>
          <w:szCs w:val="32"/>
          <w:lang w:val="en-US" w:eastAsia="zh-CN" w:bidi="ar-SA"/>
        </w:rPr>
        <w:fldChar w:fldCharType="begin"/>
      </w:r>
      <w:r>
        <w:rPr>
          <w:rFonts w:hint="eastAsia" w:ascii="黑体" w:hAnsi="黑体" w:eastAsia="黑体" w:cs="黑体"/>
          <w:bCs/>
          <w:kern w:val="2"/>
          <w:sz w:val="32"/>
          <w:szCs w:val="32"/>
          <w:lang w:val="en-US" w:eastAsia="zh-CN" w:bidi="ar-SA"/>
        </w:rPr>
        <w:instrText xml:space="preserve"> PAGEREF _Toc16480 </w:instrText>
      </w:r>
      <w:r>
        <w:rPr>
          <w:rFonts w:hint="eastAsia" w:ascii="黑体" w:hAnsi="黑体" w:eastAsia="黑体" w:cs="黑体"/>
          <w:bCs/>
          <w:kern w:val="2"/>
          <w:sz w:val="32"/>
          <w:szCs w:val="32"/>
          <w:lang w:val="en-US" w:eastAsia="zh-CN" w:bidi="ar-SA"/>
        </w:rPr>
        <w:fldChar w:fldCharType="separate"/>
      </w:r>
      <w:r>
        <w:rPr>
          <w:rFonts w:hint="eastAsia" w:ascii="黑体" w:hAnsi="黑体" w:eastAsia="黑体" w:cs="黑体"/>
          <w:bCs/>
          <w:kern w:val="2"/>
          <w:sz w:val="32"/>
          <w:szCs w:val="32"/>
          <w:lang w:val="en-US" w:eastAsia="zh-CN" w:bidi="ar-SA"/>
        </w:rPr>
        <w:t>26</w:t>
      </w:r>
      <w:r>
        <w:rPr>
          <w:rFonts w:hint="eastAsia" w:ascii="黑体" w:hAnsi="黑体" w:eastAsia="黑体" w:cs="黑体"/>
          <w:bCs/>
          <w:kern w:val="2"/>
          <w:sz w:val="32"/>
          <w:szCs w:val="32"/>
          <w:lang w:val="en-US" w:eastAsia="zh-CN" w:bidi="ar-SA"/>
        </w:rPr>
        <w:fldChar w:fldCharType="end"/>
      </w:r>
      <w:r>
        <w:rPr>
          <w:rFonts w:hint="eastAsia" w:ascii="黑体" w:hAnsi="黑体" w:eastAsia="黑体" w:cs="黑体"/>
          <w:bCs/>
          <w:szCs w:val="32"/>
        </w:rPr>
        <w:fldChar w:fldCharType="end"/>
      </w:r>
    </w:p>
    <w:p>
      <w:pPr>
        <w:pStyle w:val="10"/>
        <w:tabs>
          <w:tab w:val="right" w:leader="dot" w:pos="8640"/>
        </w:tabs>
      </w:pPr>
      <w:r>
        <w:rPr>
          <w:rFonts w:hint="eastAsia" w:ascii="黑体" w:hAnsi="黑体" w:eastAsia="黑体" w:cs="黑体"/>
          <w:bCs/>
          <w:sz w:val="32"/>
          <w:szCs w:val="32"/>
          <w:lang w:val="en-US" w:eastAsia="zh-CN"/>
        </w:rPr>
        <w:fldChar w:fldCharType="begin"/>
      </w:r>
      <w:r>
        <w:rPr>
          <w:rFonts w:hint="eastAsia" w:ascii="黑体" w:hAnsi="黑体" w:eastAsia="黑体" w:cs="黑体"/>
          <w:bCs/>
          <w:sz w:val="32"/>
          <w:szCs w:val="32"/>
          <w:lang w:val="en-US" w:eastAsia="zh-CN"/>
        </w:rPr>
        <w:instrText xml:space="preserve"> HYPERLINK \l _Toc897 </w:instrText>
      </w:r>
      <w:r>
        <w:rPr>
          <w:rFonts w:hint="eastAsia" w:ascii="黑体" w:hAnsi="黑体" w:eastAsia="黑体" w:cs="黑体"/>
          <w:bCs/>
          <w:sz w:val="32"/>
          <w:szCs w:val="32"/>
          <w:lang w:val="en-US" w:eastAsia="zh-CN"/>
        </w:rPr>
        <w:fldChar w:fldCharType="separate"/>
      </w:r>
      <w:r>
        <w:rPr>
          <w:rFonts w:hint="eastAsia" w:ascii="黑体" w:hAnsi="黑体" w:eastAsia="黑体" w:cs="黑体"/>
          <w:bCs/>
          <w:sz w:val="32"/>
          <w:szCs w:val="32"/>
          <w:lang w:val="en-US" w:eastAsia="zh-CN"/>
        </w:rPr>
        <w:t>第六章  建设高水平人才队伍</w:t>
      </w:r>
      <w:r>
        <w:rPr>
          <w:rFonts w:hint="eastAsia" w:ascii="黑体" w:hAnsi="黑体" w:eastAsia="黑体" w:cs="黑体"/>
          <w:bCs/>
          <w:sz w:val="32"/>
          <w:szCs w:val="32"/>
          <w:lang w:val="en-US" w:eastAsia="zh-CN"/>
        </w:rPr>
        <w:tab/>
      </w:r>
      <w:r>
        <w:rPr>
          <w:rFonts w:hint="eastAsia" w:ascii="黑体" w:hAnsi="黑体" w:eastAsia="黑体" w:cs="黑体"/>
          <w:bCs/>
          <w:sz w:val="32"/>
          <w:szCs w:val="32"/>
          <w:lang w:val="en-US" w:eastAsia="zh-CN"/>
        </w:rPr>
        <w:fldChar w:fldCharType="begin"/>
      </w:r>
      <w:r>
        <w:rPr>
          <w:rFonts w:hint="eastAsia" w:ascii="黑体" w:hAnsi="黑体" w:eastAsia="黑体" w:cs="黑体"/>
          <w:bCs/>
          <w:sz w:val="32"/>
          <w:szCs w:val="32"/>
          <w:lang w:val="en-US" w:eastAsia="zh-CN"/>
        </w:rPr>
        <w:instrText xml:space="preserve"> PAGEREF _Toc897 </w:instrText>
      </w:r>
      <w:r>
        <w:rPr>
          <w:rFonts w:hint="eastAsia" w:ascii="黑体" w:hAnsi="黑体" w:eastAsia="黑体" w:cs="黑体"/>
          <w:bCs/>
          <w:sz w:val="32"/>
          <w:szCs w:val="32"/>
          <w:lang w:val="en-US" w:eastAsia="zh-CN"/>
        </w:rPr>
        <w:fldChar w:fldCharType="separate"/>
      </w:r>
      <w:r>
        <w:rPr>
          <w:rFonts w:hint="eastAsia" w:ascii="黑体" w:hAnsi="黑体" w:eastAsia="黑体" w:cs="黑体"/>
          <w:bCs/>
          <w:sz w:val="32"/>
          <w:szCs w:val="32"/>
          <w:lang w:val="en-US" w:eastAsia="zh-CN"/>
        </w:rPr>
        <w:t>28</w:t>
      </w:r>
      <w:r>
        <w:rPr>
          <w:rFonts w:hint="eastAsia" w:ascii="黑体" w:hAnsi="黑体" w:eastAsia="黑体" w:cs="黑体"/>
          <w:bCs/>
          <w:sz w:val="32"/>
          <w:szCs w:val="32"/>
          <w:lang w:val="en-US" w:eastAsia="zh-CN"/>
        </w:rPr>
        <w:fldChar w:fldCharType="end"/>
      </w:r>
      <w:r>
        <w:rPr>
          <w:rFonts w:hint="eastAsia" w:ascii="黑体" w:hAnsi="黑体" w:eastAsia="黑体" w:cs="黑体"/>
          <w:bCs/>
          <w:sz w:val="32"/>
          <w:szCs w:val="32"/>
          <w:lang w:val="en-US" w:eastAsia="zh-CN"/>
        </w:rPr>
        <w:fldChar w:fldCharType="end"/>
      </w:r>
    </w:p>
    <w:p>
      <w:pPr>
        <w:pStyle w:val="2"/>
        <w:tabs>
          <w:tab w:val="right" w:leader="dot" w:pos="8640"/>
        </w:tabs>
      </w:pPr>
      <w:r>
        <w:rPr>
          <w:rFonts w:hint="eastAsia" w:ascii="黑体" w:hAnsi="黑体" w:eastAsia="黑体" w:cs="黑体"/>
          <w:bCs/>
          <w:szCs w:val="32"/>
        </w:rPr>
        <w:fldChar w:fldCharType="begin"/>
      </w:r>
      <w:r>
        <w:rPr>
          <w:rFonts w:hint="eastAsia" w:ascii="黑体" w:hAnsi="黑体" w:eastAsia="黑体" w:cs="黑体"/>
          <w:bCs/>
          <w:szCs w:val="32"/>
        </w:rPr>
        <w:instrText xml:space="preserve"> HYPERLINK \l _Toc15988 </w:instrText>
      </w:r>
      <w:r>
        <w:rPr>
          <w:rFonts w:hint="eastAsia" w:ascii="黑体" w:hAnsi="黑体" w:eastAsia="黑体" w:cs="黑体"/>
          <w:bCs/>
          <w:szCs w:val="32"/>
        </w:rPr>
        <w:fldChar w:fldCharType="separate"/>
      </w:r>
      <w:r>
        <w:rPr>
          <w:rFonts w:hint="eastAsia" w:ascii="楷体" w:hAnsi="楷体" w:eastAsia="楷体" w:cs="楷体"/>
          <w:sz w:val="32"/>
          <w:szCs w:val="32"/>
        </w:rPr>
        <w:t>第一节  加快建设高层次专业技术人才队伍</w:t>
      </w:r>
      <w:r>
        <w:rPr>
          <w:rFonts w:hint="eastAsia" w:ascii="黑体" w:hAnsi="黑体" w:eastAsia="黑体" w:cs="黑体"/>
          <w:bCs/>
          <w:kern w:val="2"/>
          <w:sz w:val="32"/>
          <w:szCs w:val="32"/>
          <w:lang w:val="en-US" w:eastAsia="zh-CN" w:bidi="ar-SA"/>
        </w:rPr>
        <w:tab/>
      </w:r>
      <w:r>
        <w:rPr>
          <w:rFonts w:hint="eastAsia" w:ascii="黑体" w:hAnsi="黑体" w:eastAsia="黑体" w:cs="黑体"/>
          <w:bCs/>
          <w:kern w:val="2"/>
          <w:sz w:val="32"/>
          <w:szCs w:val="32"/>
          <w:lang w:val="en-US" w:eastAsia="zh-CN" w:bidi="ar-SA"/>
        </w:rPr>
        <w:fldChar w:fldCharType="begin"/>
      </w:r>
      <w:r>
        <w:rPr>
          <w:rFonts w:hint="eastAsia" w:ascii="黑体" w:hAnsi="黑体" w:eastAsia="黑体" w:cs="黑体"/>
          <w:bCs/>
          <w:kern w:val="2"/>
          <w:sz w:val="32"/>
          <w:szCs w:val="32"/>
          <w:lang w:val="en-US" w:eastAsia="zh-CN" w:bidi="ar-SA"/>
        </w:rPr>
        <w:instrText xml:space="preserve"> PAGEREF _Toc15988 </w:instrText>
      </w:r>
      <w:r>
        <w:rPr>
          <w:rFonts w:hint="eastAsia" w:ascii="黑体" w:hAnsi="黑体" w:eastAsia="黑体" w:cs="黑体"/>
          <w:bCs/>
          <w:kern w:val="2"/>
          <w:sz w:val="32"/>
          <w:szCs w:val="32"/>
          <w:lang w:val="en-US" w:eastAsia="zh-CN" w:bidi="ar-SA"/>
        </w:rPr>
        <w:fldChar w:fldCharType="separate"/>
      </w:r>
      <w:r>
        <w:rPr>
          <w:rFonts w:hint="eastAsia" w:ascii="黑体" w:hAnsi="黑体" w:eastAsia="黑体" w:cs="黑体"/>
          <w:bCs/>
          <w:kern w:val="2"/>
          <w:sz w:val="32"/>
          <w:szCs w:val="32"/>
          <w:lang w:val="en-US" w:eastAsia="zh-CN" w:bidi="ar-SA"/>
        </w:rPr>
        <w:t>28</w:t>
      </w:r>
      <w:r>
        <w:rPr>
          <w:rFonts w:hint="eastAsia" w:ascii="黑体" w:hAnsi="黑体" w:eastAsia="黑体" w:cs="黑体"/>
          <w:bCs/>
          <w:kern w:val="2"/>
          <w:sz w:val="32"/>
          <w:szCs w:val="32"/>
          <w:lang w:val="en-US" w:eastAsia="zh-CN" w:bidi="ar-SA"/>
        </w:rPr>
        <w:fldChar w:fldCharType="end"/>
      </w:r>
      <w:r>
        <w:rPr>
          <w:rFonts w:hint="eastAsia" w:ascii="黑体" w:hAnsi="黑体" w:eastAsia="黑体" w:cs="黑体"/>
          <w:bCs/>
          <w:szCs w:val="32"/>
        </w:rPr>
        <w:fldChar w:fldCharType="end"/>
      </w:r>
    </w:p>
    <w:p>
      <w:pPr>
        <w:pStyle w:val="2"/>
        <w:tabs>
          <w:tab w:val="right" w:leader="dot" w:pos="8640"/>
        </w:tabs>
      </w:pPr>
      <w:r>
        <w:rPr>
          <w:rFonts w:hint="eastAsia" w:ascii="黑体" w:hAnsi="黑体" w:eastAsia="黑体" w:cs="黑体"/>
          <w:bCs/>
          <w:szCs w:val="32"/>
        </w:rPr>
        <w:fldChar w:fldCharType="begin"/>
      </w:r>
      <w:r>
        <w:rPr>
          <w:rFonts w:hint="eastAsia" w:ascii="黑体" w:hAnsi="黑体" w:eastAsia="黑体" w:cs="黑体"/>
          <w:bCs/>
          <w:szCs w:val="32"/>
        </w:rPr>
        <w:instrText xml:space="preserve"> HYPERLINK \l _Toc19335 </w:instrText>
      </w:r>
      <w:r>
        <w:rPr>
          <w:rFonts w:hint="eastAsia" w:ascii="黑体" w:hAnsi="黑体" w:eastAsia="黑体" w:cs="黑体"/>
          <w:bCs/>
          <w:szCs w:val="32"/>
        </w:rPr>
        <w:fldChar w:fldCharType="separate"/>
      </w:r>
      <w:r>
        <w:rPr>
          <w:rFonts w:hint="eastAsia" w:ascii="楷体" w:hAnsi="楷体" w:eastAsia="楷体" w:cs="楷体"/>
          <w:sz w:val="32"/>
          <w:szCs w:val="32"/>
        </w:rPr>
        <w:t>第二节  扩大高水平技能人才有效供给</w:t>
      </w:r>
      <w:r>
        <w:rPr>
          <w:rFonts w:hint="eastAsia" w:ascii="黑体" w:hAnsi="黑体" w:eastAsia="黑体" w:cs="黑体"/>
          <w:bCs/>
          <w:kern w:val="2"/>
          <w:sz w:val="32"/>
          <w:szCs w:val="32"/>
          <w:lang w:val="en-US" w:eastAsia="zh-CN" w:bidi="ar-SA"/>
        </w:rPr>
        <w:tab/>
      </w:r>
      <w:r>
        <w:rPr>
          <w:rFonts w:hint="eastAsia" w:ascii="黑体" w:hAnsi="黑体" w:eastAsia="黑体" w:cs="黑体"/>
          <w:bCs/>
          <w:kern w:val="2"/>
          <w:sz w:val="32"/>
          <w:szCs w:val="32"/>
          <w:lang w:val="en-US" w:eastAsia="zh-CN" w:bidi="ar-SA"/>
        </w:rPr>
        <w:fldChar w:fldCharType="begin"/>
      </w:r>
      <w:r>
        <w:rPr>
          <w:rFonts w:hint="eastAsia" w:ascii="黑体" w:hAnsi="黑体" w:eastAsia="黑体" w:cs="黑体"/>
          <w:bCs/>
          <w:kern w:val="2"/>
          <w:sz w:val="32"/>
          <w:szCs w:val="32"/>
          <w:lang w:val="en-US" w:eastAsia="zh-CN" w:bidi="ar-SA"/>
        </w:rPr>
        <w:instrText xml:space="preserve"> PAGEREF _Toc19335 </w:instrText>
      </w:r>
      <w:r>
        <w:rPr>
          <w:rFonts w:hint="eastAsia" w:ascii="黑体" w:hAnsi="黑体" w:eastAsia="黑体" w:cs="黑体"/>
          <w:bCs/>
          <w:kern w:val="2"/>
          <w:sz w:val="32"/>
          <w:szCs w:val="32"/>
          <w:lang w:val="en-US" w:eastAsia="zh-CN" w:bidi="ar-SA"/>
        </w:rPr>
        <w:fldChar w:fldCharType="separate"/>
      </w:r>
      <w:r>
        <w:rPr>
          <w:rFonts w:hint="eastAsia" w:ascii="黑体" w:hAnsi="黑体" w:eastAsia="黑体" w:cs="黑体"/>
          <w:bCs/>
          <w:kern w:val="2"/>
          <w:sz w:val="32"/>
          <w:szCs w:val="32"/>
          <w:lang w:val="en-US" w:eastAsia="zh-CN" w:bidi="ar-SA"/>
        </w:rPr>
        <w:t>29</w:t>
      </w:r>
      <w:r>
        <w:rPr>
          <w:rFonts w:hint="eastAsia" w:ascii="黑体" w:hAnsi="黑体" w:eastAsia="黑体" w:cs="黑体"/>
          <w:bCs/>
          <w:kern w:val="2"/>
          <w:sz w:val="32"/>
          <w:szCs w:val="32"/>
          <w:lang w:val="en-US" w:eastAsia="zh-CN" w:bidi="ar-SA"/>
        </w:rPr>
        <w:fldChar w:fldCharType="end"/>
      </w:r>
      <w:r>
        <w:rPr>
          <w:rFonts w:hint="eastAsia" w:ascii="黑体" w:hAnsi="黑体" w:eastAsia="黑体" w:cs="黑体"/>
          <w:bCs/>
          <w:szCs w:val="32"/>
        </w:rPr>
        <w:fldChar w:fldCharType="end"/>
      </w:r>
    </w:p>
    <w:p>
      <w:pPr>
        <w:pStyle w:val="2"/>
        <w:tabs>
          <w:tab w:val="right" w:leader="dot" w:pos="8640"/>
        </w:tabs>
      </w:pPr>
      <w:r>
        <w:rPr>
          <w:rFonts w:hint="eastAsia" w:ascii="黑体" w:hAnsi="黑体" w:eastAsia="黑体" w:cs="黑体"/>
          <w:bCs/>
          <w:szCs w:val="32"/>
        </w:rPr>
        <w:fldChar w:fldCharType="begin"/>
      </w:r>
      <w:r>
        <w:rPr>
          <w:rFonts w:hint="eastAsia" w:ascii="黑体" w:hAnsi="黑体" w:eastAsia="黑体" w:cs="黑体"/>
          <w:bCs/>
          <w:szCs w:val="32"/>
        </w:rPr>
        <w:instrText xml:space="preserve"> HYPERLINK \l _Toc18868 </w:instrText>
      </w:r>
      <w:r>
        <w:rPr>
          <w:rFonts w:hint="eastAsia" w:ascii="黑体" w:hAnsi="黑体" w:eastAsia="黑体" w:cs="黑体"/>
          <w:bCs/>
          <w:szCs w:val="32"/>
        </w:rPr>
        <w:fldChar w:fldCharType="separate"/>
      </w:r>
      <w:r>
        <w:rPr>
          <w:rFonts w:hint="eastAsia" w:ascii="楷体" w:hAnsi="楷体" w:eastAsia="楷体" w:cs="楷体"/>
          <w:sz w:val="32"/>
          <w:szCs w:val="32"/>
        </w:rPr>
        <w:t>第三节  实施重大人才培养工程</w:t>
      </w:r>
      <w:r>
        <w:rPr>
          <w:rFonts w:hint="eastAsia" w:ascii="黑体" w:hAnsi="黑体" w:eastAsia="黑体" w:cs="黑体"/>
          <w:bCs/>
          <w:kern w:val="2"/>
          <w:sz w:val="32"/>
          <w:szCs w:val="32"/>
          <w:lang w:val="en-US" w:eastAsia="zh-CN" w:bidi="ar-SA"/>
        </w:rPr>
        <w:tab/>
      </w:r>
      <w:r>
        <w:rPr>
          <w:rFonts w:hint="eastAsia" w:ascii="黑体" w:hAnsi="黑体" w:eastAsia="黑体" w:cs="黑体"/>
          <w:bCs/>
          <w:kern w:val="2"/>
          <w:sz w:val="32"/>
          <w:szCs w:val="32"/>
          <w:lang w:val="en-US" w:eastAsia="zh-CN" w:bidi="ar-SA"/>
        </w:rPr>
        <w:fldChar w:fldCharType="begin"/>
      </w:r>
      <w:r>
        <w:rPr>
          <w:rFonts w:hint="eastAsia" w:ascii="黑体" w:hAnsi="黑体" w:eastAsia="黑体" w:cs="黑体"/>
          <w:bCs/>
          <w:kern w:val="2"/>
          <w:sz w:val="32"/>
          <w:szCs w:val="32"/>
          <w:lang w:val="en-US" w:eastAsia="zh-CN" w:bidi="ar-SA"/>
        </w:rPr>
        <w:instrText xml:space="preserve"> PAGEREF _Toc18868 </w:instrText>
      </w:r>
      <w:r>
        <w:rPr>
          <w:rFonts w:hint="eastAsia" w:ascii="黑体" w:hAnsi="黑体" w:eastAsia="黑体" w:cs="黑体"/>
          <w:bCs/>
          <w:kern w:val="2"/>
          <w:sz w:val="32"/>
          <w:szCs w:val="32"/>
          <w:lang w:val="en-US" w:eastAsia="zh-CN" w:bidi="ar-SA"/>
        </w:rPr>
        <w:fldChar w:fldCharType="separate"/>
      </w:r>
      <w:r>
        <w:rPr>
          <w:rFonts w:hint="eastAsia" w:ascii="黑体" w:hAnsi="黑体" w:eastAsia="黑体" w:cs="黑体"/>
          <w:bCs/>
          <w:kern w:val="2"/>
          <w:sz w:val="32"/>
          <w:szCs w:val="32"/>
          <w:lang w:val="en-US" w:eastAsia="zh-CN" w:bidi="ar-SA"/>
        </w:rPr>
        <w:t>30</w:t>
      </w:r>
      <w:r>
        <w:rPr>
          <w:rFonts w:hint="eastAsia" w:ascii="黑体" w:hAnsi="黑体" w:eastAsia="黑体" w:cs="黑体"/>
          <w:bCs/>
          <w:kern w:val="2"/>
          <w:sz w:val="32"/>
          <w:szCs w:val="32"/>
          <w:lang w:val="en-US" w:eastAsia="zh-CN" w:bidi="ar-SA"/>
        </w:rPr>
        <w:fldChar w:fldCharType="end"/>
      </w:r>
      <w:r>
        <w:rPr>
          <w:rFonts w:hint="eastAsia" w:ascii="黑体" w:hAnsi="黑体" w:eastAsia="黑体" w:cs="黑体"/>
          <w:bCs/>
          <w:szCs w:val="32"/>
        </w:rPr>
        <w:fldChar w:fldCharType="end"/>
      </w:r>
    </w:p>
    <w:p>
      <w:pPr>
        <w:pStyle w:val="2"/>
        <w:tabs>
          <w:tab w:val="right" w:leader="dot" w:pos="8640"/>
        </w:tabs>
      </w:pPr>
      <w:r>
        <w:rPr>
          <w:rFonts w:hint="eastAsia" w:ascii="黑体" w:hAnsi="黑体" w:eastAsia="黑体" w:cs="黑体"/>
          <w:bCs/>
          <w:szCs w:val="32"/>
        </w:rPr>
        <w:fldChar w:fldCharType="begin"/>
      </w:r>
      <w:r>
        <w:rPr>
          <w:rFonts w:hint="eastAsia" w:ascii="黑体" w:hAnsi="黑体" w:eastAsia="黑体" w:cs="黑体"/>
          <w:bCs/>
          <w:szCs w:val="32"/>
        </w:rPr>
        <w:instrText xml:space="preserve"> HYPERLINK \l _Toc364 </w:instrText>
      </w:r>
      <w:r>
        <w:rPr>
          <w:rFonts w:hint="eastAsia" w:ascii="黑体" w:hAnsi="黑体" w:eastAsia="黑体" w:cs="黑体"/>
          <w:bCs/>
          <w:szCs w:val="32"/>
        </w:rPr>
        <w:fldChar w:fldCharType="separate"/>
      </w:r>
      <w:r>
        <w:rPr>
          <w:rFonts w:hint="eastAsia" w:ascii="楷体" w:hAnsi="楷体" w:eastAsia="楷体" w:cs="楷体"/>
          <w:sz w:val="32"/>
          <w:szCs w:val="32"/>
        </w:rPr>
        <w:t>第四节  完善人才公共服务体系</w:t>
      </w:r>
      <w:r>
        <w:rPr>
          <w:rFonts w:hint="eastAsia" w:ascii="黑体" w:hAnsi="黑体" w:eastAsia="黑体" w:cs="黑体"/>
          <w:bCs/>
          <w:kern w:val="2"/>
          <w:sz w:val="32"/>
          <w:szCs w:val="32"/>
          <w:lang w:val="en-US" w:eastAsia="zh-CN" w:bidi="ar-SA"/>
        </w:rPr>
        <w:tab/>
      </w:r>
      <w:r>
        <w:rPr>
          <w:rFonts w:hint="eastAsia" w:ascii="黑体" w:hAnsi="黑体" w:eastAsia="黑体" w:cs="黑体"/>
          <w:bCs/>
          <w:kern w:val="2"/>
          <w:sz w:val="32"/>
          <w:szCs w:val="32"/>
          <w:lang w:val="en-US" w:eastAsia="zh-CN" w:bidi="ar-SA"/>
        </w:rPr>
        <w:fldChar w:fldCharType="begin"/>
      </w:r>
      <w:r>
        <w:rPr>
          <w:rFonts w:hint="eastAsia" w:ascii="黑体" w:hAnsi="黑体" w:eastAsia="黑体" w:cs="黑体"/>
          <w:bCs/>
          <w:kern w:val="2"/>
          <w:sz w:val="32"/>
          <w:szCs w:val="32"/>
          <w:lang w:val="en-US" w:eastAsia="zh-CN" w:bidi="ar-SA"/>
        </w:rPr>
        <w:instrText xml:space="preserve"> PAGEREF _Toc364 </w:instrText>
      </w:r>
      <w:r>
        <w:rPr>
          <w:rFonts w:hint="eastAsia" w:ascii="黑体" w:hAnsi="黑体" w:eastAsia="黑体" w:cs="黑体"/>
          <w:bCs/>
          <w:kern w:val="2"/>
          <w:sz w:val="32"/>
          <w:szCs w:val="32"/>
          <w:lang w:val="en-US" w:eastAsia="zh-CN" w:bidi="ar-SA"/>
        </w:rPr>
        <w:fldChar w:fldCharType="separate"/>
      </w:r>
      <w:r>
        <w:rPr>
          <w:rFonts w:hint="eastAsia" w:ascii="黑体" w:hAnsi="黑体" w:eastAsia="黑体" w:cs="黑体"/>
          <w:bCs/>
          <w:kern w:val="2"/>
          <w:sz w:val="32"/>
          <w:szCs w:val="32"/>
          <w:lang w:val="en-US" w:eastAsia="zh-CN" w:bidi="ar-SA"/>
        </w:rPr>
        <w:t>33</w:t>
      </w:r>
      <w:r>
        <w:rPr>
          <w:rFonts w:hint="eastAsia" w:ascii="黑体" w:hAnsi="黑体" w:eastAsia="黑体" w:cs="黑体"/>
          <w:bCs/>
          <w:kern w:val="2"/>
          <w:sz w:val="32"/>
          <w:szCs w:val="32"/>
          <w:lang w:val="en-US" w:eastAsia="zh-CN" w:bidi="ar-SA"/>
        </w:rPr>
        <w:fldChar w:fldCharType="end"/>
      </w:r>
      <w:r>
        <w:rPr>
          <w:rFonts w:hint="eastAsia" w:ascii="黑体" w:hAnsi="黑体" w:eastAsia="黑体" w:cs="黑体"/>
          <w:bCs/>
          <w:szCs w:val="32"/>
        </w:rPr>
        <w:fldChar w:fldCharType="end"/>
      </w:r>
    </w:p>
    <w:p>
      <w:pPr>
        <w:pStyle w:val="10"/>
        <w:tabs>
          <w:tab w:val="right" w:leader="dot" w:pos="8640"/>
        </w:tabs>
      </w:pPr>
      <w:r>
        <w:rPr>
          <w:rFonts w:hint="eastAsia" w:ascii="黑体" w:hAnsi="黑体" w:eastAsia="黑体" w:cs="黑体"/>
          <w:bCs/>
          <w:sz w:val="32"/>
          <w:szCs w:val="32"/>
          <w:lang w:val="en-US" w:eastAsia="zh-CN"/>
        </w:rPr>
        <w:fldChar w:fldCharType="begin"/>
      </w:r>
      <w:r>
        <w:rPr>
          <w:rFonts w:hint="eastAsia" w:ascii="黑体" w:hAnsi="黑体" w:eastAsia="黑体" w:cs="黑体"/>
          <w:bCs/>
          <w:sz w:val="32"/>
          <w:szCs w:val="32"/>
          <w:lang w:val="en-US" w:eastAsia="zh-CN"/>
        </w:rPr>
        <w:instrText xml:space="preserve"> HYPERLINK \l _Toc7225 </w:instrText>
      </w:r>
      <w:r>
        <w:rPr>
          <w:rFonts w:hint="eastAsia" w:ascii="黑体" w:hAnsi="黑体" w:eastAsia="黑体" w:cs="黑体"/>
          <w:bCs/>
          <w:sz w:val="32"/>
          <w:szCs w:val="32"/>
          <w:lang w:val="en-US" w:eastAsia="zh-CN"/>
        </w:rPr>
        <w:fldChar w:fldCharType="separate"/>
      </w:r>
      <w:r>
        <w:rPr>
          <w:rFonts w:hint="eastAsia" w:ascii="黑体" w:hAnsi="黑体" w:eastAsia="黑体" w:cs="黑体"/>
          <w:bCs/>
          <w:sz w:val="32"/>
          <w:szCs w:val="32"/>
          <w:lang w:val="en-US" w:eastAsia="zh-CN"/>
        </w:rPr>
        <w:t>第七章 提高事业单位人事管理科学化水平</w:t>
      </w:r>
      <w:r>
        <w:rPr>
          <w:rFonts w:hint="eastAsia" w:ascii="黑体" w:hAnsi="黑体" w:eastAsia="黑体" w:cs="黑体"/>
          <w:bCs/>
          <w:sz w:val="32"/>
          <w:szCs w:val="32"/>
          <w:lang w:val="en-US" w:eastAsia="zh-CN"/>
        </w:rPr>
        <w:tab/>
      </w:r>
      <w:r>
        <w:rPr>
          <w:rFonts w:hint="eastAsia" w:ascii="黑体" w:hAnsi="黑体" w:eastAsia="黑体" w:cs="黑体"/>
          <w:bCs/>
          <w:sz w:val="32"/>
          <w:szCs w:val="32"/>
          <w:lang w:val="en-US" w:eastAsia="zh-CN"/>
        </w:rPr>
        <w:fldChar w:fldCharType="begin"/>
      </w:r>
      <w:r>
        <w:rPr>
          <w:rFonts w:hint="eastAsia" w:ascii="黑体" w:hAnsi="黑体" w:eastAsia="黑体" w:cs="黑体"/>
          <w:bCs/>
          <w:sz w:val="32"/>
          <w:szCs w:val="32"/>
          <w:lang w:val="en-US" w:eastAsia="zh-CN"/>
        </w:rPr>
        <w:instrText xml:space="preserve"> PAGEREF _Toc7225 </w:instrText>
      </w:r>
      <w:r>
        <w:rPr>
          <w:rFonts w:hint="eastAsia" w:ascii="黑体" w:hAnsi="黑体" w:eastAsia="黑体" w:cs="黑体"/>
          <w:bCs/>
          <w:sz w:val="32"/>
          <w:szCs w:val="32"/>
          <w:lang w:val="en-US" w:eastAsia="zh-CN"/>
        </w:rPr>
        <w:fldChar w:fldCharType="separate"/>
      </w:r>
      <w:r>
        <w:rPr>
          <w:rFonts w:hint="eastAsia" w:ascii="黑体" w:hAnsi="黑体" w:eastAsia="黑体" w:cs="黑体"/>
          <w:bCs/>
          <w:sz w:val="32"/>
          <w:szCs w:val="32"/>
          <w:lang w:val="en-US" w:eastAsia="zh-CN"/>
        </w:rPr>
        <w:t>35</w:t>
      </w:r>
      <w:r>
        <w:rPr>
          <w:rFonts w:hint="eastAsia" w:ascii="黑体" w:hAnsi="黑体" w:eastAsia="黑体" w:cs="黑体"/>
          <w:bCs/>
          <w:sz w:val="32"/>
          <w:szCs w:val="32"/>
          <w:lang w:val="en-US" w:eastAsia="zh-CN"/>
        </w:rPr>
        <w:fldChar w:fldCharType="end"/>
      </w:r>
      <w:r>
        <w:rPr>
          <w:rFonts w:hint="eastAsia" w:ascii="黑体" w:hAnsi="黑体" w:eastAsia="黑体" w:cs="黑体"/>
          <w:bCs/>
          <w:sz w:val="32"/>
          <w:szCs w:val="32"/>
          <w:lang w:val="en-US" w:eastAsia="zh-CN"/>
        </w:rPr>
        <w:fldChar w:fldCharType="end"/>
      </w:r>
    </w:p>
    <w:p>
      <w:pPr>
        <w:pStyle w:val="2"/>
        <w:tabs>
          <w:tab w:val="right" w:leader="dot" w:pos="8640"/>
        </w:tabs>
      </w:pPr>
      <w:r>
        <w:rPr>
          <w:rFonts w:hint="eastAsia" w:ascii="黑体" w:hAnsi="黑体" w:eastAsia="黑体" w:cs="黑体"/>
          <w:bCs/>
          <w:szCs w:val="32"/>
        </w:rPr>
        <w:fldChar w:fldCharType="begin"/>
      </w:r>
      <w:r>
        <w:rPr>
          <w:rFonts w:hint="eastAsia" w:ascii="黑体" w:hAnsi="黑体" w:eastAsia="黑体" w:cs="黑体"/>
          <w:bCs/>
          <w:szCs w:val="32"/>
        </w:rPr>
        <w:instrText xml:space="preserve"> HYPERLINK \l _Toc15333 </w:instrText>
      </w:r>
      <w:r>
        <w:rPr>
          <w:rFonts w:hint="eastAsia" w:ascii="黑体" w:hAnsi="黑体" w:eastAsia="黑体" w:cs="黑体"/>
          <w:bCs/>
          <w:szCs w:val="32"/>
        </w:rPr>
        <w:fldChar w:fldCharType="separate"/>
      </w:r>
      <w:r>
        <w:rPr>
          <w:rFonts w:hint="eastAsia" w:ascii="楷体" w:hAnsi="楷体" w:eastAsia="楷体" w:cs="楷体"/>
          <w:sz w:val="32"/>
          <w:szCs w:val="32"/>
        </w:rPr>
        <w:t>第一节  深化事业单位人事制度改革</w:t>
      </w:r>
      <w:r>
        <w:rPr>
          <w:rFonts w:hint="eastAsia" w:ascii="黑体" w:hAnsi="黑体" w:eastAsia="黑体" w:cs="黑体"/>
          <w:bCs/>
          <w:kern w:val="2"/>
          <w:sz w:val="32"/>
          <w:szCs w:val="32"/>
          <w:lang w:val="en-US" w:eastAsia="zh-CN" w:bidi="ar-SA"/>
        </w:rPr>
        <w:tab/>
      </w:r>
      <w:r>
        <w:rPr>
          <w:rFonts w:hint="eastAsia" w:ascii="黑体" w:hAnsi="黑体" w:eastAsia="黑体" w:cs="黑体"/>
          <w:bCs/>
          <w:kern w:val="2"/>
          <w:sz w:val="32"/>
          <w:szCs w:val="32"/>
          <w:lang w:val="en-US" w:eastAsia="zh-CN" w:bidi="ar-SA"/>
        </w:rPr>
        <w:fldChar w:fldCharType="begin"/>
      </w:r>
      <w:r>
        <w:rPr>
          <w:rFonts w:hint="eastAsia" w:ascii="黑体" w:hAnsi="黑体" w:eastAsia="黑体" w:cs="黑体"/>
          <w:bCs/>
          <w:kern w:val="2"/>
          <w:sz w:val="32"/>
          <w:szCs w:val="32"/>
          <w:lang w:val="en-US" w:eastAsia="zh-CN" w:bidi="ar-SA"/>
        </w:rPr>
        <w:instrText xml:space="preserve"> PAGEREF _Toc15333 </w:instrText>
      </w:r>
      <w:r>
        <w:rPr>
          <w:rFonts w:hint="eastAsia" w:ascii="黑体" w:hAnsi="黑体" w:eastAsia="黑体" w:cs="黑体"/>
          <w:bCs/>
          <w:kern w:val="2"/>
          <w:sz w:val="32"/>
          <w:szCs w:val="32"/>
          <w:lang w:val="en-US" w:eastAsia="zh-CN" w:bidi="ar-SA"/>
        </w:rPr>
        <w:fldChar w:fldCharType="separate"/>
      </w:r>
      <w:r>
        <w:rPr>
          <w:rFonts w:hint="eastAsia" w:ascii="黑体" w:hAnsi="黑体" w:eastAsia="黑体" w:cs="黑体"/>
          <w:bCs/>
          <w:kern w:val="2"/>
          <w:sz w:val="32"/>
          <w:szCs w:val="32"/>
          <w:lang w:val="en-US" w:eastAsia="zh-CN" w:bidi="ar-SA"/>
        </w:rPr>
        <w:t>35</w:t>
      </w:r>
      <w:r>
        <w:rPr>
          <w:rFonts w:hint="eastAsia" w:ascii="黑体" w:hAnsi="黑体" w:eastAsia="黑体" w:cs="黑体"/>
          <w:bCs/>
          <w:kern w:val="2"/>
          <w:sz w:val="32"/>
          <w:szCs w:val="32"/>
          <w:lang w:val="en-US" w:eastAsia="zh-CN" w:bidi="ar-SA"/>
        </w:rPr>
        <w:fldChar w:fldCharType="end"/>
      </w:r>
      <w:r>
        <w:rPr>
          <w:rFonts w:hint="eastAsia" w:ascii="黑体" w:hAnsi="黑体" w:eastAsia="黑体" w:cs="黑体"/>
          <w:bCs/>
          <w:szCs w:val="32"/>
        </w:rPr>
        <w:fldChar w:fldCharType="end"/>
      </w:r>
    </w:p>
    <w:p>
      <w:pPr>
        <w:pStyle w:val="2"/>
        <w:tabs>
          <w:tab w:val="right" w:leader="dot" w:pos="8640"/>
        </w:tabs>
      </w:pPr>
      <w:r>
        <w:rPr>
          <w:rFonts w:hint="eastAsia" w:ascii="黑体" w:hAnsi="黑体" w:eastAsia="黑体" w:cs="黑体"/>
          <w:bCs/>
          <w:szCs w:val="32"/>
        </w:rPr>
        <w:fldChar w:fldCharType="begin"/>
      </w:r>
      <w:r>
        <w:rPr>
          <w:rFonts w:hint="eastAsia" w:ascii="黑体" w:hAnsi="黑体" w:eastAsia="黑体" w:cs="黑体"/>
          <w:bCs/>
          <w:szCs w:val="32"/>
        </w:rPr>
        <w:instrText xml:space="preserve"> HYPERLINK \l _Toc10970 </w:instrText>
      </w:r>
      <w:r>
        <w:rPr>
          <w:rFonts w:hint="eastAsia" w:ascii="黑体" w:hAnsi="黑体" w:eastAsia="黑体" w:cs="黑体"/>
          <w:bCs/>
          <w:szCs w:val="32"/>
        </w:rPr>
        <w:fldChar w:fldCharType="separate"/>
      </w:r>
      <w:r>
        <w:rPr>
          <w:rFonts w:hint="eastAsia" w:ascii="楷体" w:hAnsi="楷体" w:eastAsia="楷体" w:cs="楷体"/>
          <w:sz w:val="32"/>
          <w:szCs w:val="32"/>
        </w:rPr>
        <w:t>第二节  改革完善事业单位薪酬分配制度</w:t>
      </w:r>
      <w:r>
        <w:rPr>
          <w:rFonts w:hint="eastAsia" w:ascii="黑体" w:hAnsi="黑体" w:eastAsia="黑体" w:cs="黑体"/>
          <w:bCs/>
          <w:kern w:val="2"/>
          <w:sz w:val="32"/>
          <w:szCs w:val="32"/>
          <w:lang w:val="en-US" w:eastAsia="zh-CN" w:bidi="ar-SA"/>
        </w:rPr>
        <w:tab/>
      </w:r>
      <w:r>
        <w:rPr>
          <w:rFonts w:hint="eastAsia" w:ascii="黑体" w:hAnsi="黑体" w:eastAsia="黑体" w:cs="黑体"/>
          <w:bCs/>
          <w:kern w:val="2"/>
          <w:sz w:val="32"/>
          <w:szCs w:val="32"/>
          <w:lang w:val="en-US" w:eastAsia="zh-CN" w:bidi="ar-SA"/>
        </w:rPr>
        <w:fldChar w:fldCharType="begin"/>
      </w:r>
      <w:r>
        <w:rPr>
          <w:rFonts w:hint="eastAsia" w:ascii="黑体" w:hAnsi="黑体" w:eastAsia="黑体" w:cs="黑体"/>
          <w:bCs/>
          <w:kern w:val="2"/>
          <w:sz w:val="32"/>
          <w:szCs w:val="32"/>
          <w:lang w:val="en-US" w:eastAsia="zh-CN" w:bidi="ar-SA"/>
        </w:rPr>
        <w:instrText xml:space="preserve"> PAGEREF _Toc10970 </w:instrText>
      </w:r>
      <w:r>
        <w:rPr>
          <w:rFonts w:hint="eastAsia" w:ascii="黑体" w:hAnsi="黑体" w:eastAsia="黑体" w:cs="黑体"/>
          <w:bCs/>
          <w:kern w:val="2"/>
          <w:sz w:val="32"/>
          <w:szCs w:val="32"/>
          <w:lang w:val="en-US" w:eastAsia="zh-CN" w:bidi="ar-SA"/>
        </w:rPr>
        <w:fldChar w:fldCharType="separate"/>
      </w:r>
      <w:r>
        <w:rPr>
          <w:rFonts w:hint="eastAsia" w:ascii="黑体" w:hAnsi="黑体" w:eastAsia="黑体" w:cs="黑体"/>
          <w:bCs/>
          <w:kern w:val="2"/>
          <w:sz w:val="32"/>
          <w:szCs w:val="32"/>
          <w:lang w:val="en-US" w:eastAsia="zh-CN" w:bidi="ar-SA"/>
        </w:rPr>
        <w:t>36</w:t>
      </w:r>
      <w:r>
        <w:rPr>
          <w:rFonts w:hint="eastAsia" w:ascii="黑体" w:hAnsi="黑体" w:eastAsia="黑体" w:cs="黑体"/>
          <w:bCs/>
          <w:kern w:val="2"/>
          <w:sz w:val="32"/>
          <w:szCs w:val="32"/>
          <w:lang w:val="en-US" w:eastAsia="zh-CN" w:bidi="ar-SA"/>
        </w:rPr>
        <w:fldChar w:fldCharType="end"/>
      </w:r>
      <w:r>
        <w:rPr>
          <w:rFonts w:hint="eastAsia" w:ascii="黑体" w:hAnsi="黑体" w:eastAsia="黑体" w:cs="黑体"/>
          <w:bCs/>
          <w:szCs w:val="32"/>
        </w:rPr>
        <w:fldChar w:fldCharType="end"/>
      </w:r>
    </w:p>
    <w:p>
      <w:pPr>
        <w:pStyle w:val="2"/>
        <w:tabs>
          <w:tab w:val="right" w:leader="dot" w:pos="8640"/>
        </w:tabs>
      </w:pPr>
      <w:r>
        <w:rPr>
          <w:rFonts w:hint="eastAsia" w:ascii="黑体" w:hAnsi="黑体" w:eastAsia="黑体" w:cs="黑体"/>
          <w:bCs/>
          <w:szCs w:val="32"/>
        </w:rPr>
        <w:fldChar w:fldCharType="begin"/>
      </w:r>
      <w:r>
        <w:rPr>
          <w:rFonts w:hint="eastAsia" w:ascii="黑体" w:hAnsi="黑体" w:eastAsia="黑体" w:cs="黑体"/>
          <w:bCs/>
          <w:szCs w:val="32"/>
        </w:rPr>
        <w:instrText xml:space="preserve"> HYPERLINK \l _Toc22908 </w:instrText>
      </w:r>
      <w:r>
        <w:rPr>
          <w:rFonts w:hint="eastAsia" w:ascii="黑体" w:hAnsi="黑体" w:eastAsia="黑体" w:cs="黑体"/>
          <w:bCs/>
          <w:szCs w:val="32"/>
        </w:rPr>
        <w:fldChar w:fldCharType="separate"/>
      </w:r>
      <w:r>
        <w:rPr>
          <w:rFonts w:hint="eastAsia" w:ascii="楷体" w:hAnsi="楷体" w:eastAsia="楷体" w:cs="楷体"/>
          <w:sz w:val="32"/>
          <w:szCs w:val="32"/>
        </w:rPr>
        <w:t>第三节  完善事业单位人事管理服务</w:t>
      </w:r>
      <w:r>
        <w:rPr>
          <w:rFonts w:hint="eastAsia" w:ascii="黑体" w:hAnsi="黑体" w:eastAsia="黑体" w:cs="黑体"/>
          <w:bCs/>
          <w:kern w:val="2"/>
          <w:sz w:val="32"/>
          <w:szCs w:val="32"/>
          <w:lang w:val="en-US" w:eastAsia="zh-CN" w:bidi="ar-SA"/>
        </w:rPr>
        <w:tab/>
      </w:r>
      <w:r>
        <w:rPr>
          <w:rFonts w:hint="eastAsia" w:ascii="黑体" w:hAnsi="黑体" w:eastAsia="黑体" w:cs="黑体"/>
          <w:bCs/>
          <w:kern w:val="2"/>
          <w:sz w:val="32"/>
          <w:szCs w:val="32"/>
          <w:lang w:val="en-US" w:eastAsia="zh-CN" w:bidi="ar-SA"/>
        </w:rPr>
        <w:fldChar w:fldCharType="begin"/>
      </w:r>
      <w:r>
        <w:rPr>
          <w:rFonts w:hint="eastAsia" w:ascii="黑体" w:hAnsi="黑体" w:eastAsia="黑体" w:cs="黑体"/>
          <w:bCs/>
          <w:kern w:val="2"/>
          <w:sz w:val="32"/>
          <w:szCs w:val="32"/>
          <w:lang w:val="en-US" w:eastAsia="zh-CN" w:bidi="ar-SA"/>
        </w:rPr>
        <w:instrText xml:space="preserve"> PAGEREF _Toc22908 </w:instrText>
      </w:r>
      <w:r>
        <w:rPr>
          <w:rFonts w:hint="eastAsia" w:ascii="黑体" w:hAnsi="黑体" w:eastAsia="黑体" w:cs="黑体"/>
          <w:bCs/>
          <w:kern w:val="2"/>
          <w:sz w:val="32"/>
          <w:szCs w:val="32"/>
          <w:lang w:val="en-US" w:eastAsia="zh-CN" w:bidi="ar-SA"/>
        </w:rPr>
        <w:fldChar w:fldCharType="separate"/>
      </w:r>
      <w:r>
        <w:rPr>
          <w:rFonts w:hint="eastAsia" w:ascii="黑体" w:hAnsi="黑体" w:eastAsia="黑体" w:cs="黑体"/>
          <w:bCs/>
          <w:kern w:val="2"/>
          <w:sz w:val="32"/>
          <w:szCs w:val="32"/>
          <w:lang w:val="en-US" w:eastAsia="zh-CN" w:bidi="ar-SA"/>
        </w:rPr>
        <w:t>37</w:t>
      </w:r>
      <w:r>
        <w:rPr>
          <w:rFonts w:hint="eastAsia" w:ascii="黑体" w:hAnsi="黑体" w:eastAsia="黑体" w:cs="黑体"/>
          <w:bCs/>
          <w:kern w:val="2"/>
          <w:sz w:val="32"/>
          <w:szCs w:val="32"/>
          <w:lang w:val="en-US" w:eastAsia="zh-CN" w:bidi="ar-SA"/>
        </w:rPr>
        <w:fldChar w:fldCharType="end"/>
      </w:r>
      <w:r>
        <w:rPr>
          <w:rFonts w:hint="eastAsia" w:ascii="黑体" w:hAnsi="黑体" w:eastAsia="黑体" w:cs="黑体"/>
          <w:bCs/>
          <w:szCs w:val="32"/>
        </w:rPr>
        <w:fldChar w:fldCharType="end"/>
      </w:r>
    </w:p>
    <w:p>
      <w:pPr>
        <w:pStyle w:val="10"/>
        <w:tabs>
          <w:tab w:val="right" w:leader="dot" w:pos="8640"/>
        </w:tabs>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fldChar w:fldCharType="begin"/>
      </w:r>
      <w:r>
        <w:rPr>
          <w:rFonts w:hint="eastAsia" w:ascii="黑体" w:hAnsi="黑体" w:eastAsia="黑体" w:cs="黑体"/>
          <w:bCs/>
          <w:sz w:val="32"/>
          <w:szCs w:val="32"/>
          <w:lang w:val="en-US" w:eastAsia="zh-CN"/>
        </w:rPr>
        <w:instrText xml:space="preserve"> HYPERLINK \l _Toc27333 </w:instrText>
      </w:r>
      <w:r>
        <w:rPr>
          <w:rFonts w:hint="eastAsia" w:ascii="黑体" w:hAnsi="黑体" w:eastAsia="黑体" w:cs="黑体"/>
          <w:bCs/>
          <w:sz w:val="32"/>
          <w:szCs w:val="32"/>
          <w:lang w:val="en-US" w:eastAsia="zh-CN"/>
        </w:rPr>
        <w:fldChar w:fldCharType="separate"/>
      </w:r>
      <w:r>
        <w:rPr>
          <w:rFonts w:hint="eastAsia" w:ascii="黑体" w:hAnsi="黑体" w:eastAsia="黑体" w:cs="黑体"/>
          <w:bCs/>
          <w:sz w:val="32"/>
          <w:szCs w:val="32"/>
          <w:lang w:val="en-US" w:eastAsia="zh-CN"/>
        </w:rPr>
        <w:t>第八章  构建新型和谐劳动关系</w:t>
      </w:r>
      <w:r>
        <w:rPr>
          <w:rFonts w:hint="eastAsia" w:ascii="黑体" w:hAnsi="黑体" w:eastAsia="黑体" w:cs="黑体"/>
          <w:bCs/>
          <w:sz w:val="32"/>
          <w:szCs w:val="32"/>
          <w:lang w:val="en-US" w:eastAsia="zh-CN"/>
        </w:rPr>
        <w:tab/>
      </w:r>
      <w:r>
        <w:rPr>
          <w:rFonts w:hint="eastAsia" w:ascii="黑体" w:hAnsi="黑体" w:eastAsia="黑体" w:cs="黑体"/>
          <w:bCs/>
          <w:sz w:val="32"/>
          <w:szCs w:val="32"/>
          <w:lang w:val="en-US" w:eastAsia="zh-CN"/>
        </w:rPr>
        <w:fldChar w:fldCharType="begin"/>
      </w:r>
      <w:r>
        <w:rPr>
          <w:rFonts w:hint="eastAsia" w:ascii="黑体" w:hAnsi="黑体" w:eastAsia="黑体" w:cs="黑体"/>
          <w:bCs/>
          <w:sz w:val="32"/>
          <w:szCs w:val="32"/>
          <w:lang w:val="en-US" w:eastAsia="zh-CN"/>
        </w:rPr>
        <w:instrText xml:space="preserve"> PAGEREF _Toc27333 </w:instrText>
      </w:r>
      <w:r>
        <w:rPr>
          <w:rFonts w:hint="eastAsia" w:ascii="黑体" w:hAnsi="黑体" w:eastAsia="黑体" w:cs="黑体"/>
          <w:bCs/>
          <w:sz w:val="32"/>
          <w:szCs w:val="32"/>
          <w:lang w:val="en-US" w:eastAsia="zh-CN"/>
        </w:rPr>
        <w:fldChar w:fldCharType="separate"/>
      </w:r>
      <w:r>
        <w:rPr>
          <w:rFonts w:hint="eastAsia" w:ascii="黑体" w:hAnsi="黑体" w:eastAsia="黑体" w:cs="黑体"/>
          <w:bCs/>
          <w:sz w:val="32"/>
          <w:szCs w:val="32"/>
          <w:lang w:val="en-US" w:eastAsia="zh-CN"/>
        </w:rPr>
        <w:t>39</w:t>
      </w:r>
      <w:r>
        <w:rPr>
          <w:rFonts w:hint="eastAsia" w:ascii="黑体" w:hAnsi="黑体" w:eastAsia="黑体" w:cs="黑体"/>
          <w:bCs/>
          <w:sz w:val="32"/>
          <w:szCs w:val="32"/>
          <w:lang w:val="en-US" w:eastAsia="zh-CN"/>
        </w:rPr>
        <w:fldChar w:fldCharType="end"/>
      </w:r>
      <w:r>
        <w:rPr>
          <w:rFonts w:hint="eastAsia" w:ascii="黑体" w:hAnsi="黑体" w:eastAsia="黑体" w:cs="黑体"/>
          <w:bCs/>
          <w:sz w:val="32"/>
          <w:szCs w:val="32"/>
          <w:lang w:val="en-US" w:eastAsia="zh-CN"/>
        </w:rPr>
        <w:fldChar w:fldCharType="end"/>
      </w:r>
    </w:p>
    <w:p>
      <w:pPr>
        <w:pStyle w:val="2"/>
        <w:tabs>
          <w:tab w:val="right" w:leader="dot" w:pos="8640"/>
        </w:tabs>
      </w:pPr>
      <w:r>
        <w:rPr>
          <w:rFonts w:hint="eastAsia" w:ascii="黑体" w:hAnsi="黑体" w:eastAsia="黑体" w:cs="黑体"/>
          <w:bCs/>
          <w:szCs w:val="32"/>
        </w:rPr>
        <w:fldChar w:fldCharType="begin"/>
      </w:r>
      <w:r>
        <w:rPr>
          <w:rFonts w:hint="eastAsia" w:ascii="黑体" w:hAnsi="黑体" w:eastAsia="黑体" w:cs="黑体"/>
          <w:bCs/>
          <w:szCs w:val="32"/>
        </w:rPr>
        <w:instrText xml:space="preserve"> HYPERLINK \l _Toc28748 </w:instrText>
      </w:r>
      <w:r>
        <w:rPr>
          <w:rFonts w:hint="eastAsia" w:ascii="黑体" w:hAnsi="黑体" w:eastAsia="黑体" w:cs="黑体"/>
          <w:bCs/>
          <w:szCs w:val="32"/>
        </w:rPr>
        <w:fldChar w:fldCharType="separate"/>
      </w:r>
      <w:r>
        <w:rPr>
          <w:rFonts w:hint="eastAsia" w:ascii="楷体" w:hAnsi="楷体" w:eastAsia="楷体" w:cs="楷体"/>
          <w:sz w:val="32"/>
          <w:szCs w:val="32"/>
        </w:rPr>
        <w:t>第一节  健全劳动关系协调机制</w:t>
      </w:r>
      <w:r>
        <w:rPr>
          <w:rFonts w:hint="eastAsia" w:ascii="黑体" w:hAnsi="黑体" w:eastAsia="黑体" w:cs="黑体"/>
          <w:bCs/>
          <w:kern w:val="2"/>
          <w:sz w:val="32"/>
          <w:szCs w:val="32"/>
          <w:lang w:val="en-US" w:eastAsia="zh-CN" w:bidi="ar-SA"/>
        </w:rPr>
        <w:tab/>
      </w:r>
      <w:r>
        <w:rPr>
          <w:rFonts w:hint="eastAsia" w:ascii="黑体" w:hAnsi="黑体" w:eastAsia="黑体" w:cs="黑体"/>
          <w:bCs/>
          <w:kern w:val="2"/>
          <w:sz w:val="32"/>
          <w:szCs w:val="32"/>
          <w:lang w:val="en-US" w:eastAsia="zh-CN" w:bidi="ar-SA"/>
        </w:rPr>
        <w:fldChar w:fldCharType="begin"/>
      </w:r>
      <w:r>
        <w:rPr>
          <w:rFonts w:hint="eastAsia" w:ascii="黑体" w:hAnsi="黑体" w:eastAsia="黑体" w:cs="黑体"/>
          <w:bCs/>
          <w:kern w:val="2"/>
          <w:sz w:val="32"/>
          <w:szCs w:val="32"/>
          <w:lang w:val="en-US" w:eastAsia="zh-CN" w:bidi="ar-SA"/>
        </w:rPr>
        <w:instrText xml:space="preserve"> PAGEREF _Toc28748 </w:instrText>
      </w:r>
      <w:r>
        <w:rPr>
          <w:rFonts w:hint="eastAsia" w:ascii="黑体" w:hAnsi="黑体" w:eastAsia="黑体" w:cs="黑体"/>
          <w:bCs/>
          <w:kern w:val="2"/>
          <w:sz w:val="32"/>
          <w:szCs w:val="32"/>
          <w:lang w:val="en-US" w:eastAsia="zh-CN" w:bidi="ar-SA"/>
        </w:rPr>
        <w:fldChar w:fldCharType="separate"/>
      </w:r>
      <w:r>
        <w:rPr>
          <w:rFonts w:hint="eastAsia" w:ascii="黑体" w:hAnsi="黑体" w:eastAsia="黑体" w:cs="黑体"/>
          <w:bCs/>
          <w:kern w:val="2"/>
          <w:sz w:val="32"/>
          <w:szCs w:val="32"/>
          <w:lang w:val="en-US" w:eastAsia="zh-CN" w:bidi="ar-SA"/>
        </w:rPr>
        <w:t>39</w:t>
      </w:r>
      <w:r>
        <w:rPr>
          <w:rFonts w:hint="eastAsia" w:ascii="黑体" w:hAnsi="黑体" w:eastAsia="黑体" w:cs="黑体"/>
          <w:bCs/>
          <w:kern w:val="2"/>
          <w:sz w:val="32"/>
          <w:szCs w:val="32"/>
          <w:lang w:val="en-US" w:eastAsia="zh-CN" w:bidi="ar-SA"/>
        </w:rPr>
        <w:fldChar w:fldCharType="end"/>
      </w:r>
      <w:r>
        <w:rPr>
          <w:rFonts w:hint="eastAsia" w:ascii="黑体" w:hAnsi="黑体" w:eastAsia="黑体" w:cs="黑体"/>
          <w:bCs/>
          <w:szCs w:val="32"/>
        </w:rPr>
        <w:fldChar w:fldCharType="end"/>
      </w:r>
    </w:p>
    <w:p>
      <w:pPr>
        <w:pStyle w:val="2"/>
        <w:tabs>
          <w:tab w:val="right" w:leader="dot" w:pos="8640"/>
        </w:tabs>
      </w:pPr>
      <w:r>
        <w:rPr>
          <w:rFonts w:hint="eastAsia" w:ascii="黑体" w:hAnsi="黑体" w:eastAsia="黑体" w:cs="黑体"/>
          <w:bCs/>
          <w:szCs w:val="32"/>
        </w:rPr>
        <w:fldChar w:fldCharType="begin"/>
      </w:r>
      <w:r>
        <w:rPr>
          <w:rFonts w:hint="eastAsia" w:ascii="黑体" w:hAnsi="黑体" w:eastAsia="黑体" w:cs="黑体"/>
          <w:bCs/>
          <w:szCs w:val="32"/>
        </w:rPr>
        <w:instrText xml:space="preserve"> HYPERLINK \l _Toc16579 </w:instrText>
      </w:r>
      <w:r>
        <w:rPr>
          <w:rFonts w:hint="eastAsia" w:ascii="黑体" w:hAnsi="黑体" w:eastAsia="黑体" w:cs="黑体"/>
          <w:bCs/>
          <w:szCs w:val="32"/>
        </w:rPr>
        <w:fldChar w:fldCharType="separate"/>
      </w:r>
      <w:r>
        <w:rPr>
          <w:rFonts w:hint="eastAsia" w:ascii="楷体" w:hAnsi="楷体" w:eastAsia="楷体" w:cs="楷体"/>
          <w:sz w:val="32"/>
          <w:szCs w:val="32"/>
        </w:rPr>
        <w:t>第二节  深化企业工资收入分配制度改革</w:t>
      </w:r>
      <w:r>
        <w:rPr>
          <w:rFonts w:hint="eastAsia" w:ascii="黑体" w:hAnsi="黑体" w:eastAsia="黑体" w:cs="黑体"/>
          <w:bCs/>
          <w:kern w:val="2"/>
          <w:sz w:val="32"/>
          <w:szCs w:val="32"/>
          <w:lang w:val="en-US" w:eastAsia="zh-CN" w:bidi="ar-SA"/>
        </w:rPr>
        <w:tab/>
      </w:r>
      <w:r>
        <w:rPr>
          <w:rFonts w:hint="eastAsia" w:ascii="黑体" w:hAnsi="黑体" w:eastAsia="黑体" w:cs="黑体"/>
          <w:bCs/>
          <w:kern w:val="2"/>
          <w:sz w:val="32"/>
          <w:szCs w:val="32"/>
          <w:lang w:val="en-US" w:eastAsia="zh-CN" w:bidi="ar-SA"/>
        </w:rPr>
        <w:fldChar w:fldCharType="begin"/>
      </w:r>
      <w:r>
        <w:rPr>
          <w:rFonts w:hint="eastAsia" w:ascii="黑体" w:hAnsi="黑体" w:eastAsia="黑体" w:cs="黑体"/>
          <w:bCs/>
          <w:kern w:val="2"/>
          <w:sz w:val="32"/>
          <w:szCs w:val="32"/>
          <w:lang w:val="en-US" w:eastAsia="zh-CN" w:bidi="ar-SA"/>
        </w:rPr>
        <w:instrText xml:space="preserve"> PAGEREF _Toc16579 </w:instrText>
      </w:r>
      <w:r>
        <w:rPr>
          <w:rFonts w:hint="eastAsia" w:ascii="黑体" w:hAnsi="黑体" w:eastAsia="黑体" w:cs="黑体"/>
          <w:bCs/>
          <w:kern w:val="2"/>
          <w:sz w:val="32"/>
          <w:szCs w:val="32"/>
          <w:lang w:val="en-US" w:eastAsia="zh-CN" w:bidi="ar-SA"/>
        </w:rPr>
        <w:fldChar w:fldCharType="separate"/>
      </w:r>
      <w:r>
        <w:rPr>
          <w:rFonts w:hint="eastAsia" w:ascii="黑体" w:hAnsi="黑体" w:eastAsia="黑体" w:cs="黑体"/>
          <w:bCs/>
          <w:kern w:val="2"/>
          <w:sz w:val="32"/>
          <w:szCs w:val="32"/>
          <w:lang w:val="en-US" w:eastAsia="zh-CN" w:bidi="ar-SA"/>
        </w:rPr>
        <w:t>40</w:t>
      </w:r>
      <w:r>
        <w:rPr>
          <w:rFonts w:hint="eastAsia" w:ascii="黑体" w:hAnsi="黑体" w:eastAsia="黑体" w:cs="黑体"/>
          <w:bCs/>
          <w:kern w:val="2"/>
          <w:sz w:val="32"/>
          <w:szCs w:val="32"/>
          <w:lang w:val="en-US" w:eastAsia="zh-CN" w:bidi="ar-SA"/>
        </w:rPr>
        <w:fldChar w:fldCharType="end"/>
      </w:r>
      <w:r>
        <w:rPr>
          <w:rFonts w:hint="eastAsia" w:ascii="黑体" w:hAnsi="黑体" w:eastAsia="黑体" w:cs="黑体"/>
          <w:bCs/>
          <w:szCs w:val="32"/>
        </w:rPr>
        <w:fldChar w:fldCharType="end"/>
      </w:r>
    </w:p>
    <w:p>
      <w:pPr>
        <w:pStyle w:val="2"/>
        <w:tabs>
          <w:tab w:val="right" w:leader="dot" w:pos="8640"/>
        </w:tabs>
        <w:rPr>
          <w:rFonts w:hint="eastAsia" w:ascii="黑体" w:hAnsi="黑体" w:eastAsia="黑体" w:cs="黑体"/>
          <w:bCs/>
          <w:kern w:val="2"/>
          <w:sz w:val="32"/>
          <w:szCs w:val="32"/>
          <w:lang w:val="en-US" w:eastAsia="zh-CN" w:bidi="ar-SA"/>
        </w:rPr>
      </w:pPr>
      <w:r>
        <w:rPr>
          <w:rFonts w:hint="eastAsia" w:ascii="黑体" w:hAnsi="黑体" w:eastAsia="黑体" w:cs="黑体"/>
          <w:bCs/>
          <w:kern w:val="2"/>
          <w:sz w:val="32"/>
          <w:szCs w:val="32"/>
          <w:lang w:val="en-US" w:eastAsia="zh-CN" w:bidi="ar-SA"/>
        </w:rPr>
        <w:fldChar w:fldCharType="begin"/>
      </w:r>
      <w:r>
        <w:rPr>
          <w:rFonts w:hint="eastAsia" w:ascii="黑体" w:hAnsi="黑体" w:eastAsia="黑体" w:cs="黑体"/>
          <w:bCs/>
          <w:kern w:val="2"/>
          <w:sz w:val="32"/>
          <w:szCs w:val="32"/>
          <w:lang w:val="en-US" w:eastAsia="zh-CN" w:bidi="ar-SA"/>
        </w:rPr>
        <w:instrText xml:space="preserve"> HYPERLINK \l _Toc17579 </w:instrText>
      </w:r>
      <w:r>
        <w:rPr>
          <w:rFonts w:hint="eastAsia" w:ascii="黑体" w:hAnsi="黑体" w:eastAsia="黑体" w:cs="黑体"/>
          <w:bCs/>
          <w:kern w:val="2"/>
          <w:sz w:val="32"/>
          <w:szCs w:val="32"/>
          <w:lang w:val="en-US" w:eastAsia="zh-CN" w:bidi="ar-SA"/>
        </w:rPr>
        <w:fldChar w:fldCharType="separate"/>
      </w:r>
      <w:r>
        <w:rPr>
          <w:rFonts w:hint="eastAsia" w:ascii="楷体" w:hAnsi="楷体" w:eastAsia="楷体" w:cs="楷体"/>
          <w:sz w:val="32"/>
          <w:szCs w:val="32"/>
          <w:lang w:val="en-US" w:eastAsia="zh-CN"/>
        </w:rPr>
        <w:t>第三节  完善劳动人事争议调解仲载体制机制</w:t>
      </w:r>
      <w:r>
        <w:rPr>
          <w:rFonts w:hint="eastAsia" w:ascii="黑体" w:hAnsi="黑体" w:eastAsia="黑体" w:cs="黑体"/>
          <w:bCs/>
          <w:kern w:val="2"/>
          <w:sz w:val="32"/>
          <w:szCs w:val="32"/>
          <w:lang w:val="en-US" w:eastAsia="zh-CN" w:bidi="ar-SA"/>
        </w:rPr>
        <w:tab/>
      </w:r>
      <w:r>
        <w:rPr>
          <w:rFonts w:hint="eastAsia" w:ascii="黑体" w:hAnsi="黑体" w:eastAsia="黑体" w:cs="黑体"/>
          <w:bCs/>
          <w:kern w:val="2"/>
          <w:sz w:val="32"/>
          <w:szCs w:val="32"/>
          <w:lang w:val="en-US" w:eastAsia="zh-CN" w:bidi="ar-SA"/>
        </w:rPr>
        <w:fldChar w:fldCharType="begin"/>
      </w:r>
      <w:r>
        <w:rPr>
          <w:rFonts w:hint="eastAsia" w:ascii="黑体" w:hAnsi="黑体" w:eastAsia="黑体" w:cs="黑体"/>
          <w:bCs/>
          <w:kern w:val="2"/>
          <w:sz w:val="32"/>
          <w:szCs w:val="32"/>
          <w:lang w:val="en-US" w:eastAsia="zh-CN" w:bidi="ar-SA"/>
        </w:rPr>
        <w:instrText xml:space="preserve"> PAGEREF _Toc17579 </w:instrText>
      </w:r>
      <w:r>
        <w:rPr>
          <w:rFonts w:hint="eastAsia" w:ascii="黑体" w:hAnsi="黑体" w:eastAsia="黑体" w:cs="黑体"/>
          <w:bCs/>
          <w:kern w:val="2"/>
          <w:sz w:val="32"/>
          <w:szCs w:val="32"/>
          <w:lang w:val="en-US" w:eastAsia="zh-CN" w:bidi="ar-SA"/>
        </w:rPr>
        <w:fldChar w:fldCharType="separate"/>
      </w:r>
      <w:r>
        <w:rPr>
          <w:rFonts w:hint="eastAsia" w:ascii="黑体" w:hAnsi="黑体" w:eastAsia="黑体" w:cs="黑体"/>
          <w:bCs/>
          <w:kern w:val="2"/>
          <w:sz w:val="32"/>
          <w:szCs w:val="32"/>
          <w:lang w:val="en-US" w:eastAsia="zh-CN" w:bidi="ar-SA"/>
        </w:rPr>
        <w:t>41</w:t>
      </w:r>
      <w:r>
        <w:rPr>
          <w:rFonts w:hint="eastAsia" w:ascii="黑体" w:hAnsi="黑体" w:eastAsia="黑体" w:cs="黑体"/>
          <w:bCs/>
          <w:kern w:val="2"/>
          <w:sz w:val="32"/>
          <w:szCs w:val="32"/>
          <w:lang w:val="en-US" w:eastAsia="zh-CN" w:bidi="ar-SA"/>
        </w:rPr>
        <w:fldChar w:fldCharType="end"/>
      </w:r>
      <w:r>
        <w:rPr>
          <w:rFonts w:hint="eastAsia" w:ascii="黑体" w:hAnsi="黑体" w:eastAsia="黑体" w:cs="黑体"/>
          <w:bCs/>
          <w:kern w:val="2"/>
          <w:sz w:val="32"/>
          <w:szCs w:val="32"/>
          <w:lang w:val="en-US" w:eastAsia="zh-CN" w:bidi="ar-SA"/>
        </w:rPr>
        <w:fldChar w:fldCharType="end"/>
      </w:r>
    </w:p>
    <w:p>
      <w:pPr>
        <w:pStyle w:val="2"/>
        <w:tabs>
          <w:tab w:val="right" w:leader="dot" w:pos="8640"/>
        </w:tabs>
      </w:pPr>
      <w:r>
        <w:rPr>
          <w:rFonts w:hint="eastAsia" w:ascii="黑体" w:hAnsi="黑体" w:eastAsia="黑体" w:cs="黑体"/>
          <w:bCs/>
          <w:szCs w:val="32"/>
        </w:rPr>
        <w:fldChar w:fldCharType="begin"/>
      </w:r>
      <w:r>
        <w:rPr>
          <w:rFonts w:hint="eastAsia" w:ascii="黑体" w:hAnsi="黑体" w:eastAsia="黑体" w:cs="黑体"/>
          <w:bCs/>
          <w:szCs w:val="32"/>
        </w:rPr>
        <w:instrText xml:space="preserve"> HYPERLINK \l _Toc20409 </w:instrText>
      </w:r>
      <w:r>
        <w:rPr>
          <w:rFonts w:hint="eastAsia" w:ascii="黑体" w:hAnsi="黑体" w:eastAsia="黑体" w:cs="黑体"/>
          <w:bCs/>
          <w:szCs w:val="32"/>
        </w:rPr>
        <w:fldChar w:fldCharType="separate"/>
      </w:r>
      <w:r>
        <w:rPr>
          <w:rFonts w:hint="eastAsia" w:ascii="楷体" w:hAnsi="楷体" w:eastAsia="楷体" w:cs="楷体"/>
          <w:sz w:val="32"/>
          <w:szCs w:val="32"/>
        </w:rPr>
        <w:t>第四节  提高劳动保障监察治理效能</w:t>
      </w:r>
      <w:r>
        <w:rPr>
          <w:rFonts w:hint="eastAsia" w:ascii="黑体" w:hAnsi="黑体" w:eastAsia="黑体" w:cs="黑体"/>
          <w:bCs/>
          <w:kern w:val="2"/>
          <w:sz w:val="32"/>
          <w:szCs w:val="32"/>
          <w:lang w:val="en-US" w:eastAsia="zh-CN" w:bidi="ar-SA"/>
        </w:rPr>
        <w:tab/>
      </w:r>
      <w:r>
        <w:rPr>
          <w:rFonts w:hint="eastAsia" w:ascii="黑体" w:hAnsi="黑体" w:eastAsia="黑体" w:cs="黑体"/>
          <w:bCs/>
          <w:kern w:val="2"/>
          <w:sz w:val="32"/>
          <w:szCs w:val="32"/>
          <w:lang w:val="en-US" w:eastAsia="zh-CN" w:bidi="ar-SA"/>
        </w:rPr>
        <w:fldChar w:fldCharType="begin"/>
      </w:r>
      <w:r>
        <w:rPr>
          <w:rFonts w:hint="eastAsia" w:ascii="黑体" w:hAnsi="黑体" w:eastAsia="黑体" w:cs="黑体"/>
          <w:bCs/>
          <w:kern w:val="2"/>
          <w:sz w:val="32"/>
          <w:szCs w:val="32"/>
          <w:lang w:val="en-US" w:eastAsia="zh-CN" w:bidi="ar-SA"/>
        </w:rPr>
        <w:instrText xml:space="preserve"> PAGEREF _Toc20409 </w:instrText>
      </w:r>
      <w:r>
        <w:rPr>
          <w:rFonts w:hint="eastAsia" w:ascii="黑体" w:hAnsi="黑体" w:eastAsia="黑体" w:cs="黑体"/>
          <w:bCs/>
          <w:kern w:val="2"/>
          <w:sz w:val="32"/>
          <w:szCs w:val="32"/>
          <w:lang w:val="en-US" w:eastAsia="zh-CN" w:bidi="ar-SA"/>
        </w:rPr>
        <w:fldChar w:fldCharType="separate"/>
      </w:r>
      <w:r>
        <w:rPr>
          <w:rFonts w:hint="eastAsia" w:ascii="黑体" w:hAnsi="黑体" w:eastAsia="黑体" w:cs="黑体"/>
          <w:bCs/>
          <w:kern w:val="2"/>
          <w:sz w:val="32"/>
          <w:szCs w:val="32"/>
          <w:lang w:val="en-US" w:eastAsia="zh-CN" w:bidi="ar-SA"/>
        </w:rPr>
        <w:t>42</w:t>
      </w:r>
      <w:r>
        <w:rPr>
          <w:rFonts w:hint="eastAsia" w:ascii="黑体" w:hAnsi="黑体" w:eastAsia="黑体" w:cs="黑体"/>
          <w:bCs/>
          <w:kern w:val="2"/>
          <w:sz w:val="32"/>
          <w:szCs w:val="32"/>
          <w:lang w:val="en-US" w:eastAsia="zh-CN" w:bidi="ar-SA"/>
        </w:rPr>
        <w:fldChar w:fldCharType="end"/>
      </w:r>
      <w:r>
        <w:rPr>
          <w:rFonts w:hint="eastAsia" w:ascii="黑体" w:hAnsi="黑体" w:eastAsia="黑体" w:cs="黑体"/>
          <w:bCs/>
          <w:szCs w:val="32"/>
        </w:rPr>
        <w:fldChar w:fldCharType="end"/>
      </w:r>
    </w:p>
    <w:p>
      <w:pPr>
        <w:pStyle w:val="10"/>
        <w:tabs>
          <w:tab w:val="right" w:leader="dot" w:pos="8640"/>
        </w:tabs>
      </w:pPr>
      <w:r>
        <w:rPr>
          <w:rFonts w:hint="eastAsia" w:ascii="黑体" w:hAnsi="黑体" w:eastAsia="黑体" w:cs="黑体"/>
          <w:bCs/>
          <w:sz w:val="32"/>
          <w:szCs w:val="32"/>
          <w:lang w:val="en-US" w:eastAsia="zh-CN"/>
        </w:rPr>
        <w:fldChar w:fldCharType="begin"/>
      </w:r>
      <w:r>
        <w:rPr>
          <w:rFonts w:hint="eastAsia" w:ascii="黑体" w:hAnsi="黑体" w:eastAsia="黑体" w:cs="黑体"/>
          <w:bCs/>
          <w:sz w:val="32"/>
          <w:szCs w:val="32"/>
          <w:lang w:val="en-US" w:eastAsia="zh-CN"/>
        </w:rPr>
        <w:instrText xml:space="preserve"> HYPERLINK \l _Toc17965 </w:instrText>
      </w:r>
      <w:r>
        <w:rPr>
          <w:rFonts w:hint="eastAsia" w:ascii="黑体" w:hAnsi="黑体" w:eastAsia="黑体" w:cs="黑体"/>
          <w:bCs/>
          <w:sz w:val="32"/>
          <w:szCs w:val="32"/>
          <w:lang w:val="en-US" w:eastAsia="zh-CN"/>
        </w:rPr>
        <w:fldChar w:fldCharType="separate"/>
      </w:r>
      <w:r>
        <w:rPr>
          <w:rFonts w:hint="eastAsia" w:ascii="黑体" w:hAnsi="黑体" w:eastAsia="黑体" w:cs="黑体"/>
          <w:bCs/>
          <w:sz w:val="32"/>
          <w:szCs w:val="32"/>
          <w:lang w:val="en-US" w:eastAsia="zh-CN"/>
        </w:rPr>
        <w:t>第九章 提升公共服务能力和水平</w:t>
      </w:r>
      <w:r>
        <w:rPr>
          <w:rFonts w:hint="eastAsia" w:ascii="黑体" w:hAnsi="黑体" w:eastAsia="黑体" w:cs="黑体"/>
          <w:bCs/>
          <w:sz w:val="32"/>
          <w:szCs w:val="32"/>
          <w:lang w:val="en-US" w:eastAsia="zh-CN"/>
        </w:rPr>
        <w:tab/>
      </w:r>
      <w:r>
        <w:rPr>
          <w:rFonts w:hint="eastAsia" w:ascii="黑体" w:hAnsi="黑体" w:eastAsia="黑体" w:cs="黑体"/>
          <w:bCs/>
          <w:sz w:val="32"/>
          <w:szCs w:val="32"/>
          <w:lang w:val="en-US" w:eastAsia="zh-CN"/>
        </w:rPr>
        <w:fldChar w:fldCharType="begin"/>
      </w:r>
      <w:r>
        <w:rPr>
          <w:rFonts w:hint="eastAsia" w:ascii="黑体" w:hAnsi="黑体" w:eastAsia="黑体" w:cs="黑体"/>
          <w:bCs/>
          <w:sz w:val="32"/>
          <w:szCs w:val="32"/>
          <w:lang w:val="en-US" w:eastAsia="zh-CN"/>
        </w:rPr>
        <w:instrText xml:space="preserve"> PAGEREF _Toc17965 </w:instrText>
      </w:r>
      <w:r>
        <w:rPr>
          <w:rFonts w:hint="eastAsia" w:ascii="黑体" w:hAnsi="黑体" w:eastAsia="黑体" w:cs="黑体"/>
          <w:bCs/>
          <w:sz w:val="32"/>
          <w:szCs w:val="32"/>
          <w:lang w:val="en-US" w:eastAsia="zh-CN"/>
        </w:rPr>
        <w:fldChar w:fldCharType="separate"/>
      </w:r>
      <w:r>
        <w:rPr>
          <w:rFonts w:hint="eastAsia" w:ascii="黑体" w:hAnsi="黑体" w:eastAsia="黑体" w:cs="黑体"/>
          <w:bCs/>
          <w:sz w:val="32"/>
          <w:szCs w:val="32"/>
          <w:lang w:val="en-US" w:eastAsia="zh-CN"/>
        </w:rPr>
        <w:t>46</w:t>
      </w:r>
      <w:r>
        <w:rPr>
          <w:rFonts w:hint="eastAsia" w:ascii="黑体" w:hAnsi="黑体" w:eastAsia="黑体" w:cs="黑体"/>
          <w:bCs/>
          <w:sz w:val="32"/>
          <w:szCs w:val="32"/>
          <w:lang w:val="en-US" w:eastAsia="zh-CN"/>
        </w:rPr>
        <w:fldChar w:fldCharType="end"/>
      </w:r>
      <w:r>
        <w:rPr>
          <w:rFonts w:hint="eastAsia" w:ascii="黑体" w:hAnsi="黑体" w:eastAsia="黑体" w:cs="黑体"/>
          <w:bCs/>
          <w:sz w:val="32"/>
          <w:szCs w:val="32"/>
          <w:lang w:val="en-US" w:eastAsia="zh-CN"/>
        </w:rPr>
        <w:fldChar w:fldCharType="end"/>
      </w:r>
    </w:p>
    <w:p>
      <w:pPr>
        <w:pStyle w:val="2"/>
        <w:tabs>
          <w:tab w:val="right" w:leader="dot" w:pos="8640"/>
        </w:tabs>
      </w:pPr>
      <w:r>
        <w:rPr>
          <w:rFonts w:hint="eastAsia" w:ascii="黑体" w:hAnsi="黑体" w:eastAsia="黑体" w:cs="黑体"/>
          <w:bCs/>
          <w:szCs w:val="32"/>
        </w:rPr>
        <w:fldChar w:fldCharType="begin"/>
      </w:r>
      <w:r>
        <w:rPr>
          <w:rFonts w:hint="eastAsia" w:ascii="黑体" w:hAnsi="黑体" w:eastAsia="黑体" w:cs="黑体"/>
          <w:bCs/>
          <w:szCs w:val="32"/>
        </w:rPr>
        <w:instrText xml:space="preserve"> HYPERLINK \l _Toc18473 </w:instrText>
      </w:r>
      <w:r>
        <w:rPr>
          <w:rFonts w:hint="eastAsia" w:ascii="黑体" w:hAnsi="黑体" w:eastAsia="黑体" w:cs="黑体"/>
          <w:bCs/>
          <w:szCs w:val="32"/>
        </w:rPr>
        <w:fldChar w:fldCharType="separate"/>
      </w:r>
      <w:r>
        <w:rPr>
          <w:rFonts w:hint="eastAsia" w:ascii="楷体" w:hAnsi="楷体" w:eastAsia="楷体" w:cs="楷体"/>
          <w:sz w:val="32"/>
          <w:szCs w:val="32"/>
        </w:rPr>
        <w:t>第一节  强化法治人社建设</w:t>
      </w:r>
      <w:r>
        <w:rPr>
          <w:rFonts w:hint="eastAsia" w:ascii="黑体" w:hAnsi="黑体" w:eastAsia="黑体" w:cs="黑体"/>
          <w:bCs/>
          <w:kern w:val="2"/>
          <w:sz w:val="32"/>
          <w:szCs w:val="32"/>
          <w:lang w:val="en-US" w:eastAsia="zh-CN" w:bidi="ar-SA"/>
        </w:rPr>
        <w:tab/>
      </w:r>
      <w:r>
        <w:rPr>
          <w:rFonts w:hint="eastAsia" w:ascii="黑体" w:hAnsi="黑体" w:eastAsia="黑体" w:cs="黑体"/>
          <w:bCs/>
          <w:kern w:val="2"/>
          <w:sz w:val="32"/>
          <w:szCs w:val="32"/>
          <w:lang w:val="en-US" w:eastAsia="zh-CN" w:bidi="ar-SA"/>
        </w:rPr>
        <w:fldChar w:fldCharType="begin"/>
      </w:r>
      <w:r>
        <w:rPr>
          <w:rFonts w:hint="eastAsia" w:ascii="黑体" w:hAnsi="黑体" w:eastAsia="黑体" w:cs="黑体"/>
          <w:bCs/>
          <w:kern w:val="2"/>
          <w:sz w:val="32"/>
          <w:szCs w:val="32"/>
          <w:lang w:val="en-US" w:eastAsia="zh-CN" w:bidi="ar-SA"/>
        </w:rPr>
        <w:instrText xml:space="preserve"> PAGEREF _Toc18473 </w:instrText>
      </w:r>
      <w:r>
        <w:rPr>
          <w:rFonts w:hint="eastAsia" w:ascii="黑体" w:hAnsi="黑体" w:eastAsia="黑体" w:cs="黑体"/>
          <w:bCs/>
          <w:kern w:val="2"/>
          <w:sz w:val="32"/>
          <w:szCs w:val="32"/>
          <w:lang w:val="en-US" w:eastAsia="zh-CN" w:bidi="ar-SA"/>
        </w:rPr>
        <w:fldChar w:fldCharType="separate"/>
      </w:r>
      <w:r>
        <w:rPr>
          <w:rFonts w:hint="eastAsia" w:ascii="黑体" w:hAnsi="黑体" w:eastAsia="黑体" w:cs="黑体"/>
          <w:bCs/>
          <w:kern w:val="2"/>
          <w:sz w:val="32"/>
          <w:szCs w:val="32"/>
          <w:lang w:val="en-US" w:eastAsia="zh-CN" w:bidi="ar-SA"/>
        </w:rPr>
        <w:t>46</w:t>
      </w:r>
      <w:r>
        <w:rPr>
          <w:rFonts w:hint="eastAsia" w:ascii="黑体" w:hAnsi="黑体" w:eastAsia="黑体" w:cs="黑体"/>
          <w:bCs/>
          <w:kern w:val="2"/>
          <w:sz w:val="32"/>
          <w:szCs w:val="32"/>
          <w:lang w:val="en-US" w:eastAsia="zh-CN" w:bidi="ar-SA"/>
        </w:rPr>
        <w:fldChar w:fldCharType="end"/>
      </w:r>
      <w:r>
        <w:rPr>
          <w:rFonts w:hint="eastAsia" w:ascii="黑体" w:hAnsi="黑体" w:eastAsia="黑体" w:cs="黑体"/>
          <w:bCs/>
          <w:szCs w:val="32"/>
        </w:rPr>
        <w:fldChar w:fldCharType="end"/>
      </w:r>
    </w:p>
    <w:p>
      <w:pPr>
        <w:pStyle w:val="2"/>
        <w:tabs>
          <w:tab w:val="right" w:leader="dot" w:pos="8640"/>
        </w:tabs>
      </w:pPr>
      <w:r>
        <w:rPr>
          <w:rFonts w:hint="eastAsia" w:ascii="黑体" w:hAnsi="黑体" w:eastAsia="黑体" w:cs="黑体"/>
          <w:bCs/>
          <w:szCs w:val="32"/>
        </w:rPr>
        <w:fldChar w:fldCharType="begin"/>
      </w:r>
      <w:r>
        <w:rPr>
          <w:rFonts w:hint="eastAsia" w:ascii="黑体" w:hAnsi="黑体" w:eastAsia="黑体" w:cs="黑体"/>
          <w:bCs/>
          <w:szCs w:val="32"/>
        </w:rPr>
        <w:instrText xml:space="preserve"> HYPERLINK \l _Toc19868 </w:instrText>
      </w:r>
      <w:r>
        <w:rPr>
          <w:rFonts w:hint="eastAsia" w:ascii="黑体" w:hAnsi="黑体" w:eastAsia="黑体" w:cs="黑体"/>
          <w:bCs/>
          <w:szCs w:val="32"/>
        </w:rPr>
        <w:fldChar w:fldCharType="separate"/>
      </w:r>
      <w:r>
        <w:rPr>
          <w:rFonts w:hint="eastAsia" w:ascii="楷体" w:hAnsi="楷体" w:eastAsia="楷体" w:cs="楷体"/>
          <w:sz w:val="32"/>
          <w:szCs w:val="32"/>
        </w:rPr>
        <w:t>第二节</w:t>
      </w:r>
      <w:r>
        <w:rPr>
          <w:rFonts w:hint="eastAsia" w:ascii="楷体" w:hAnsi="楷体" w:eastAsia="楷体" w:cs="楷体"/>
          <w:sz w:val="32"/>
          <w:szCs w:val="32"/>
          <w:lang w:val="en-US" w:eastAsia="zh-CN"/>
        </w:rPr>
        <w:t xml:space="preserve">  </w:t>
      </w:r>
      <w:r>
        <w:rPr>
          <w:rFonts w:hint="eastAsia" w:ascii="楷体" w:hAnsi="楷体" w:eastAsia="楷体" w:cs="楷体"/>
          <w:sz w:val="32"/>
          <w:szCs w:val="32"/>
        </w:rPr>
        <w:t>大力推进公共服务均等化标准化信息化建设</w:t>
      </w:r>
      <w:r>
        <w:rPr>
          <w:rFonts w:hint="eastAsia" w:ascii="黑体" w:hAnsi="黑体" w:eastAsia="黑体" w:cs="黑体"/>
          <w:bCs/>
          <w:kern w:val="2"/>
          <w:sz w:val="32"/>
          <w:szCs w:val="32"/>
          <w:lang w:val="en-US" w:eastAsia="zh-CN" w:bidi="ar-SA"/>
        </w:rPr>
        <w:tab/>
      </w:r>
      <w:r>
        <w:rPr>
          <w:rFonts w:hint="eastAsia" w:ascii="黑体" w:hAnsi="黑体" w:eastAsia="黑体" w:cs="黑体"/>
          <w:bCs/>
          <w:kern w:val="2"/>
          <w:sz w:val="32"/>
          <w:szCs w:val="32"/>
          <w:lang w:val="en-US" w:eastAsia="zh-CN" w:bidi="ar-SA"/>
        </w:rPr>
        <w:fldChar w:fldCharType="begin"/>
      </w:r>
      <w:r>
        <w:rPr>
          <w:rFonts w:hint="eastAsia" w:ascii="黑体" w:hAnsi="黑体" w:eastAsia="黑体" w:cs="黑体"/>
          <w:bCs/>
          <w:kern w:val="2"/>
          <w:sz w:val="32"/>
          <w:szCs w:val="32"/>
          <w:lang w:val="en-US" w:eastAsia="zh-CN" w:bidi="ar-SA"/>
        </w:rPr>
        <w:instrText xml:space="preserve"> PAGEREF _Toc19868 </w:instrText>
      </w:r>
      <w:r>
        <w:rPr>
          <w:rFonts w:hint="eastAsia" w:ascii="黑体" w:hAnsi="黑体" w:eastAsia="黑体" w:cs="黑体"/>
          <w:bCs/>
          <w:kern w:val="2"/>
          <w:sz w:val="32"/>
          <w:szCs w:val="32"/>
          <w:lang w:val="en-US" w:eastAsia="zh-CN" w:bidi="ar-SA"/>
        </w:rPr>
        <w:fldChar w:fldCharType="separate"/>
      </w:r>
      <w:r>
        <w:rPr>
          <w:rFonts w:hint="eastAsia" w:ascii="黑体" w:hAnsi="黑体" w:eastAsia="黑体" w:cs="黑体"/>
          <w:bCs/>
          <w:kern w:val="2"/>
          <w:sz w:val="32"/>
          <w:szCs w:val="32"/>
          <w:lang w:val="en-US" w:eastAsia="zh-CN" w:bidi="ar-SA"/>
        </w:rPr>
        <w:t>47</w:t>
      </w:r>
      <w:r>
        <w:rPr>
          <w:rFonts w:hint="eastAsia" w:ascii="黑体" w:hAnsi="黑体" w:eastAsia="黑体" w:cs="黑体"/>
          <w:bCs/>
          <w:kern w:val="2"/>
          <w:sz w:val="32"/>
          <w:szCs w:val="32"/>
          <w:lang w:val="en-US" w:eastAsia="zh-CN" w:bidi="ar-SA"/>
        </w:rPr>
        <w:fldChar w:fldCharType="end"/>
      </w:r>
      <w:r>
        <w:rPr>
          <w:rFonts w:hint="eastAsia" w:ascii="黑体" w:hAnsi="黑体" w:eastAsia="黑体" w:cs="黑体"/>
          <w:bCs/>
          <w:szCs w:val="32"/>
        </w:rPr>
        <w:fldChar w:fldCharType="end"/>
      </w:r>
    </w:p>
    <w:p>
      <w:pPr>
        <w:pStyle w:val="2"/>
        <w:tabs>
          <w:tab w:val="right" w:leader="dot" w:pos="8640"/>
        </w:tabs>
      </w:pPr>
      <w:r>
        <w:rPr>
          <w:rFonts w:hint="eastAsia" w:ascii="黑体" w:hAnsi="黑体" w:eastAsia="黑体" w:cs="黑体"/>
          <w:bCs/>
          <w:szCs w:val="32"/>
        </w:rPr>
        <w:fldChar w:fldCharType="begin"/>
      </w:r>
      <w:r>
        <w:rPr>
          <w:rFonts w:hint="eastAsia" w:ascii="黑体" w:hAnsi="黑体" w:eastAsia="黑体" w:cs="黑体"/>
          <w:bCs/>
          <w:szCs w:val="32"/>
        </w:rPr>
        <w:instrText xml:space="preserve"> HYPERLINK \l _Toc10430 </w:instrText>
      </w:r>
      <w:r>
        <w:rPr>
          <w:rFonts w:hint="eastAsia" w:ascii="黑体" w:hAnsi="黑体" w:eastAsia="黑体" w:cs="黑体"/>
          <w:bCs/>
          <w:szCs w:val="32"/>
        </w:rPr>
        <w:fldChar w:fldCharType="separate"/>
      </w:r>
      <w:r>
        <w:rPr>
          <w:rFonts w:hint="eastAsia" w:ascii="楷体" w:hAnsi="楷体" w:eastAsia="楷体" w:cs="楷体"/>
          <w:sz w:val="32"/>
          <w:szCs w:val="32"/>
          <w:lang w:eastAsia="zh-CN"/>
        </w:rPr>
        <w:t>第三节</w:t>
      </w:r>
      <w:r>
        <w:rPr>
          <w:rFonts w:hint="eastAsia" w:ascii="楷体" w:hAnsi="楷体" w:eastAsia="楷体" w:cs="楷体"/>
          <w:sz w:val="32"/>
          <w:szCs w:val="32"/>
          <w:lang w:val="en-US" w:eastAsia="zh-CN"/>
        </w:rPr>
        <w:t xml:space="preserve">  </w:t>
      </w:r>
      <w:r>
        <w:rPr>
          <w:rFonts w:hint="eastAsia" w:ascii="楷体" w:hAnsi="楷体" w:eastAsia="楷体" w:cs="楷体"/>
          <w:sz w:val="32"/>
          <w:szCs w:val="32"/>
        </w:rPr>
        <w:t>素质过硬的人社队伍</w:t>
      </w:r>
      <w:r>
        <w:rPr>
          <w:rFonts w:hint="eastAsia" w:ascii="黑体" w:hAnsi="黑体" w:eastAsia="黑体" w:cs="黑体"/>
          <w:bCs/>
          <w:kern w:val="2"/>
          <w:sz w:val="32"/>
          <w:szCs w:val="32"/>
          <w:lang w:val="en-US" w:eastAsia="zh-CN" w:bidi="ar-SA"/>
        </w:rPr>
        <w:tab/>
      </w:r>
      <w:r>
        <w:rPr>
          <w:rFonts w:hint="eastAsia" w:ascii="黑体" w:hAnsi="黑体" w:eastAsia="黑体" w:cs="黑体"/>
          <w:bCs/>
          <w:kern w:val="2"/>
          <w:sz w:val="32"/>
          <w:szCs w:val="32"/>
          <w:lang w:val="en-US" w:eastAsia="zh-CN" w:bidi="ar-SA"/>
        </w:rPr>
        <w:fldChar w:fldCharType="begin"/>
      </w:r>
      <w:r>
        <w:rPr>
          <w:rFonts w:hint="eastAsia" w:ascii="黑体" w:hAnsi="黑体" w:eastAsia="黑体" w:cs="黑体"/>
          <w:bCs/>
          <w:kern w:val="2"/>
          <w:sz w:val="32"/>
          <w:szCs w:val="32"/>
          <w:lang w:val="en-US" w:eastAsia="zh-CN" w:bidi="ar-SA"/>
        </w:rPr>
        <w:instrText xml:space="preserve"> PAGEREF _Toc10430 </w:instrText>
      </w:r>
      <w:r>
        <w:rPr>
          <w:rFonts w:hint="eastAsia" w:ascii="黑体" w:hAnsi="黑体" w:eastAsia="黑体" w:cs="黑体"/>
          <w:bCs/>
          <w:kern w:val="2"/>
          <w:sz w:val="32"/>
          <w:szCs w:val="32"/>
          <w:lang w:val="en-US" w:eastAsia="zh-CN" w:bidi="ar-SA"/>
        </w:rPr>
        <w:fldChar w:fldCharType="separate"/>
      </w:r>
      <w:r>
        <w:rPr>
          <w:rFonts w:hint="eastAsia" w:ascii="黑体" w:hAnsi="黑体" w:eastAsia="黑体" w:cs="黑体"/>
          <w:bCs/>
          <w:kern w:val="2"/>
          <w:sz w:val="32"/>
          <w:szCs w:val="32"/>
          <w:lang w:val="en-US" w:eastAsia="zh-CN" w:bidi="ar-SA"/>
        </w:rPr>
        <w:t>49</w:t>
      </w:r>
      <w:r>
        <w:rPr>
          <w:rFonts w:hint="eastAsia" w:ascii="黑体" w:hAnsi="黑体" w:eastAsia="黑体" w:cs="黑体"/>
          <w:bCs/>
          <w:kern w:val="2"/>
          <w:sz w:val="32"/>
          <w:szCs w:val="32"/>
          <w:lang w:val="en-US" w:eastAsia="zh-CN" w:bidi="ar-SA"/>
        </w:rPr>
        <w:fldChar w:fldCharType="end"/>
      </w:r>
      <w:r>
        <w:rPr>
          <w:rFonts w:hint="eastAsia" w:ascii="黑体" w:hAnsi="黑体" w:eastAsia="黑体" w:cs="黑体"/>
          <w:bCs/>
          <w:szCs w:val="32"/>
        </w:rPr>
        <w:fldChar w:fldCharType="end"/>
      </w:r>
    </w:p>
    <w:p>
      <w:pPr>
        <w:pStyle w:val="10"/>
        <w:tabs>
          <w:tab w:val="right" w:leader="dot" w:pos="8640"/>
        </w:tabs>
      </w:pPr>
      <w:r>
        <w:rPr>
          <w:rFonts w:hint="eastAsia" w:ascii="黑体" w:hAnsi="黑体" w:eastAsia="黑体" w:cs="黑体"/>
          <w:bCs/>
          <w:sz w:val="32"/>
          <w:szCs w:val="32"/>
          <w:lang w:val="en-US" w:eastAsia="zh-CN"/>
        </w:rPr>
        <w:fldChar w:fldCharType="begin"/>
      </w:r>
      <w:r>
        <w:rPr>
          <w:rFonts w:hint="eastAsia" w:ascii="黑体" w:hAnsi="黑体" w:eastAsia="黑体" w:cs="黑体"/>
          <w:bCs/>
          <w:sz w:val="32"/>
          <w:szCs w:val="32"/>
          <w:lang w:val="en-US" w:eastAsia="zh-CN"/>
        </w:rPr>
        <w:instrText xml:space="preserve"> HYPERLINK \l _Toc27612 </w:instrText>
      </w:r>
      <w:r>
        <w:rPr>
          <w:rFonts w:hint="eastAsia" w:ascii="黑体" w:hAnsi="黑体" w:eastAsia="黑体" w:cs="黑体"/>
          <w:bCs/>
          <w:sz w:val="32"/>
          <w:szCs w:val="32"/>
          <w:lang w:val="en-US" w:eastAsia="zh-CN"/>
        </w:rPr>
        <w:fldChar w:fldCharType="separate"/>
      </w:r>
      <w:r>
        <w:rPr>
          <w:rFonts w:hint="eastAsia" w:ascii="黑体" w:hAnsi="黑体" w:eastAsia="黑体" w:cs="黑体"/>
          <w:bCs/>
          <w:sz w:val="32"/>
          <w:szCs w:val="32"/>
          <w:lang w:val="en-US" w:eastAsia="zh-CN"/>
        </w:rPr>
        <w:t>第十章  保障措施</w:t>
      </w:r>
      <w:r>
        <w:rPr>
          <w:rFonts w:hint="eastAsia" w:ascii="黑体" w:hAnsi="黑体" w:eastAsia="黑体" w:cs="黑体"/>
          <w:bCs/>
          <w:sz w:val="32"/>
          <w:szCs w:val="32"/>
          <w:lang w:val="en-US" w:eastAsia="zh-CN"/>
        </w:rPr>
        <w:tab/>
      </w:r>
      <w:r>
        <w:rPr>
          <w:rFonts w:hint="eastAsia" w:ascii="黑体" w:hAnsi="黑体" w:eastAsia="黑体" w:cs="黑体"/>
          <w:bCs/>
          <w:sz w:val="32"/>
          <w:szCs w:val="32"/>
          <w:lang w:val="en-US" w:eastAsia="zh-CN"/>
        </w:rPr>
        <w:fldChar w:fldCharType="begin"/>
      </w:r>
      <w:r>
        <w:rPr>
          <w:rFonts w:hint="eastAsia" w:ascii="黑体" w:hAnsi="黑体" w:eastAsia="黑体" w:cs="黑体"/>
          <w:bCs/>
          <w:sz w:val="32"/>
          <w:szCs w:val="32"/>
          <w:lang w:val="en-US" w:eastAsia="zh-CN"/>
        </w:rPr>
        <w:instrText xml:space="preserve"> PAGEREF _Toc27612 </w:instrText>
      </w:r>
      <w:r>
        <w:rPr>
          <w:rFonts w:hint="eastAsia" w:ascii="黑体" w:hAnsi="黑体" w:eastAsia="黑体" w:cs="黑体"/>
          <w:bCs/>
          <w:sz w:val="32"/>
          <w:szCs w:val="32"/>
          <w:lang w:val="en-US" w:eastAsia="zh-CN"/>
        </w:rPr>
        <w:fldChar w:fldCharType="separate"/>
      </w:r>
      <w:r>
        <w:rPr>
          <w:rFonts w:hint="eastAsia" w:ascii="黑体" w:hAnsi="黑体" w:eastAsia="黑体" w:cs="黑体"/>
          <w:bCs/>
          <w:sz w:val="32"/>
          <w:szCs w:val="32"/>
          <w:lang w:val="en-US" w:eastAsia="zh-CN"/>
        </w:rPr>
        <w:t>50</w:t>
      </w:r>
      <w:r>
        <w:rPr>
          <w:rFonts w:hint="eastAsia" w:ascii="黑体" w:hAnsi="黑体" w:eastAsia="黑体" w:cs="黑体"/>
          <w:bCs/>
          <w:sz w:val="32"/>
          <w:szCs w:val="32"/>
          <w:lang w:val="en-US" w:eastAsia="zh-CN"/>
        </w:rPr>
        <w:fldChar w:fldCharType="end"/>
      </w:r>
      <w:r>
        <w:rPr>
          <w:rFonts w:hint="eastAsia" w:ascii="黑体" w:hAnsi="黑体" w:eastAsia="黑体" w:cs="黑体"/>
          <w:bCs/>
          <w:sz w:val="32"/>
          <w:szCs w:val="32"/>
          <w:lang w:val="en-US" w:eastAsia="zh-CN"/>
        </w:rPr>
        <w:fldChar w:fldCharType="end"/>
      </w:r>
    </w:p>
    <w:p>
      <w:pPr>
        <w:pStyle w:val="2"/>
        <w:tabs>
          <w:tab w:val="right" w:leader="dot" w:pos="8640"/>
        </w:tabs>
      </w:pPr>
      <w:r>
        <w:rPr>
          <w:rFonts w:hint="eastAsia" w:ascii="黑体" w:hAnsi="黑体" w:eastAsia="黑体" w:cs="黑体"/>
          <w:bCs/>
          <w:szCs w:val="32"/>
        </w:rPr>
        <w:fldChar w:fldCharType="begin"/>
      </w:r>
      <w:r>
        <w:rPr>
          <w:rFonts w:hint="eastAsia" w:ascii="黑体" w:hAnsi="黑体" w:eastAsia="黑体" w:cs="黑体"/>
          <w:bCs/>
          <w:szCs w:val="32"/>
        </w:rPr>
        <w:instrText xml:space="preserve"> HYPERLINK \l _Toc8227 </w:instrText>
      </w:r>
      <w:r>
        <w:rPr>
          <w:rFonts w:hint="eastAsia" w:ascii="黑体" w:hAnsi="黑体" w:eastAsia="黑体" w:cs="黑体"/>
          <w:bCs/>
          <w:szCs w:val="32"/>
        </w:rPr>
        <w:fldChar w:fldCharType="separate"/>
      </w:r>
      <w:r>
        <w:rPr>
          <w:rFonts w:hint="eastAsia" w:ascii="楷体" w:hAnsi="楷体" w:eastAsia="楷体" w:cs="楷体"/>
          <w:sz w:val="32"/>
          <w:szCs w:val="32"/>
          <w:lang w:eastAsia="zh-CN"/>
        </w:rPr>
        <w:t>第一节  加强政策研究和统计监测分析</w:t>
      </w:r>
      <w:r>
        <w:rPr>
          <w:rFonts w:hint="eastAsia" w:ascii="黑体" w:hAnsi="黑体" w:eastAsia="黑体" w:cs="黑体"/>
          <w:bCs/>
          <w:kern w:val="2"/>
          <w:sz w:val="32"/>
          <w:szCs w:val="32"/>
          <w:lang w:val="en-US" w:eastAsia="zh-CN" w:bidi="ar-SA"/>
        </w:rPr>
        <w:tab/>
      </w:r>
      <w:r>
        <w:rPr>
          <w:rFonts w:hint="eastAsia" w:ascii="黑体" w:hAnsi="黑体" w:eastAsia="黑体" w:cs="黑体"/>
          <w:bCs/>
          <w:kern w:val="2"/>
          <w:sz w:val="32"/>
          <w:szCs w:val="32"/>
          <w:lang w:val="en-US" w:eastAsia="zh-CN" w:bidi="ar-SA"/>
        </w:rPr>
        <w:fldChar w:fldCharType="begin"/>
      </w:r>
      <w:r>
        <w:rPr>
          <w:rFonts w:hint="eastAsia" w:ascii="黑体" w:hAnsi="黑体" w:eastAsia="黑体" w:cs="黑体"/>
          <w:bCs/>
          <w:kern w:val="2"/>
          <w:sz w:val="32"/>
          <w:szCs w:val="32"/>
          <w:lang w:val="en-US" w:eastAsia="zh-CN" w:bidi="ar-SA"/>
        </w:rPr>
        <w:instrText xml:space="preserve"> PAGEREF _Toc8227 </w:instrText>
      </w:r>
      <w:r>
        <w:rPr>
          <w:rFonts w:hint="eastAsia" w:ascii="黑体" w:hAnsi="黑体" w:eastAsia="黑体" w:cs="黑体"/>
          <w:bCs/>
          <w:kern w:val="2"/>
          <w:sz w:val="32"/>
          <w:szCs w:val="32"/>
          <w:lang w:val="en-US" w:eastAsia="zh-CN" w:bidi="ar-SA"/>
        </w:rPr>
        <w:fldChar w:fldCharType="separate"/>
      </w:r>
      <w:r>
        <w:rPr>
          <w:rFonts w:hint="eastAsia" w:ascii="黑体" w:hAnsi="黑体" w:eastAsia="黑体" w:cs="黑体"/>
          <w:bCs/>
          <w:kern w:val="2"/>
          <w:sz w:val="32"/>
          <w:szCs w:val="32"/>
          <w:lang w:val="en-US" w:eastAsia="zh-CN" w:bidi="ar-SA"/>
        </w:rPr>
        <w:t>50</w:t>
      </w:r>
      <w:r>
        <w:rPr>
          <w:rFonts w:hint="eastAsia" w:ascii="黑体" w:hAnsi="黑体" w:eastAsia="黑体" w:cs="黑体"/>
          <w:bCs/>
          <w:kern w:val="2"/>
          <w:sz w:val="32"/>
          <w:szCs w:val="32"/>
          <w:lang w:val="en-US" w:eastAsia="zh-CN" w:bidi="ar-SA"/>
        </w:rPr>
        <w:fldChar w:fldCharType="end"/>
      </w:r>
      <w:r>
        <w:rPr>
          <w:rFonts w:hint="eastAsia" w:ascii="黑体" w:hAnsi="黑体" w:eastAsia="黑体" w:cs="黑体"/>
          <w:bCs/>
          <w:szCs w:val="32"/>
        </w:rPr>
        <w:fldChar w:fldCharType="end"/>
      </w:r>
    </w:p>
    <w:p>
      <w:pPr>
        <w:pStyle w:val="2"/>
        <w:tabs>
          <w:tab w:val="right" w:leader="dot" w:pos="8640"/>
        </w:tabs>
      </w:pPr>
      <w:r>
        <w:rPr>
          <w:rFonts w:hint="eastAsia" w:ascii="黑体" w:hAnsi="黑体" w:eastAsia="黑体" w:cs="黑体"/>
          <w:bCs/>
          <w:szCs w:val="32"/>
        </w:rPr>
        <w:fldChar w:fldCharType="begin"/>
      </w:r>
      <w:r>
        <w:rPr>
          <w:rFonts w:hint="eastAsia" w:ascii="黑体" w:hAnsi="黑体" w:eastAsia="黑体" w:cs="黑体"/>
          <w:bCs/>
          <w:szCs w:val="32"/>
        </w:rPr>
        <w:instrText xml:space="preserve"> HYPERLINK \l _Toc22747 </w:instrText>
      </w:r>
      <w:r>
        <w:rPr>
          <w:rFonts w:hint="eastAsia" w:ascii="黑体" w:hAnsi="黑体" w:eastAsia="黑体" w:cs="黑体"/>
          <w:bCs/>
          <w:szCs w:val="32"/>
        </w:rPr>
        <w:fldChar w:fldCharType="separate"/>
      </w:r>
      <w:r>
        <w:rPr>
          <w:rFonts w:hint="eastAsia" w:ascii="楷体" w:hAnsi="楷体" w:eastAsia="楷体" w:cs="楷体"/>
          <w:sz w:val="32"/>
          <w:szCs w:val="32"/>
          <w:lang w:eastAsia="zh-CN"/>
        </w:rPr>
        <w:t>第二节  提高财政投入效益</w:t>
      </w:r>
      <w:r>
        <w:rPr>
          <w:rFonts w:hint="eastAsia" w:ascii="黑体" w:hAnsi="黑体" w:eastAsia="黑体" w:cs="黑体"/>
          <w:bCs/>
          <w:kern w:val="2"/>
          <w:sz w:val="32"/>
          <w:szCs w:val="32"/>
          <w:lang w:val="en-US" w:eastAsia="zh-CN" w:bidi="ar-SA"/>
        </w:rPr>
        <w:tab/>
      </w:r>
      <w:r>
        <w:rPr>
          <w:rFonts w:hint="eastAsia" w:ascii="黑体" w:hAnsi="黑体" w:eastAsia="黑体" w:cs="黑体"/>
          <w:bCs/>
          <w:kern w:val="2"/>
          <w:sz w:val="32"/>
          <w:szCs w:val="32"/>
          <w:lang w:val="en-US" w:eastAsia="zh-CN" w:bidi="ar-SA"/>
        </w:rPr>
        <w:fldChar w:fldCharType="begin"/>
      </w:r>
      <w:r>
        <w:rPr>
          <w:rFonts w:hint="eastAsia" w:ascii="黑体" w:hAnsi="黑体" w:eastAsia="黑体" w:cs="黑体"/>
          <w:bCs/>
          <w:kern w:val="2"/>
          <w:sz w:val="32"/>
          <w:szCs w:val="32"/>
          <w:lang w:val="en-US" w:eastAsia="zh-CN" w:bidi="ar-SA"/>
        </w:rPr>
        <w:instrText xml:space="preserve"> PAGEREF _Toc22747 </w:instrText>
      </w:r>
      <w:r>
        <w:rPr>
          <w:rFonts w:hint="eastAsia" w:ascii="黑体" w:hAnsi="黑体" w:eastAsia="黑体" w:cs="黑体"/>
          <w:bCs/>
          <w:kern w:val="2"/>
          <w:sz w:val="32"/>
          <w:szCs w:val="32"/>
          <w:lang w:val="en-US" w:eastAsia="zh-CN" w:bidi="ar-SA"/>
        </w:rPr>
        <w:fldChar w:fldCharType="separate"/>
      </w:r>
      <w:r>
        <w:rPr>
          <w:rFonts w:hint="eastAsia" w:ascii="黑体" w:hAnsi="黑体" w:eastAsia="黑体" w:cs="黑体"/>
          <w:bCs/>
          <w:kern w:val="2"/>
          <w:sz w:val="32"/>
          <w:szCs w:val="32"/>
          <w:lang w:val="en-US" w:eastAsia="zh-CN" w:bidi="ar-SA"/>
        </w:rPr>
        <w:t>50</w:t>
      </w:r>
      <w:r>
        <w:rPr>
          <w:rFonts w:hint="eastAsia" w:ascii="黑体" w:hAnsi="黑体" w:eastAsia="黑体" w:cs="黑体"/>
          <w:bCs/>
          <w:kern w:val="2"/>
          <w:sz w:val="32"/>
          <w:szCs w:val="32"/>
          <w:lang w:val="en-US" w:eastAsia="zh-CN" w:bidi="ar-SA"/>
        </w:rPr>
        <w:fldChar w:fldCharType="end"/>
      </w:r>
      <w:r>
        <w:rPr>
          <w:rFonts w:hint="eastAsia" w:ascii="黑体" w:hAnsi="黑体" w:eastAsia="黑体" w:cs="黑体"/>
          <w:bCs/>
          <w:szCs w:val="32"/>
        </w:rPr>
        <w:fldChar w:fldCharType="end"/>
      </w:r>
    </w:p>
    <w:p>
      <w:pPr>
        <w:pStyle w:val="2"/>
        <w:tabs>
          <w:tab w:val="right" w:leader="dot" w:pos="8640"/>
        </w:tabs>
      </w:pPr>
      <w:r>
        <w:rPr>
          <w:rFonts w:hint="eastAsia" w:ascii="黑体" w:hAnsi="黑体" w:eastAsia="黑体" w:cs="黑体"/>
          <w:bCs/>
          <w:szCs w:val="32"/>
        </w:rPr>
        <w:fldChar w:fldCharType="begin"/>
      </w:r>
      <w:r>
        <w:rPr>
          <w:rFonts w:hint="eastAsia" w:ascii="黑体" w:hAnsi="黑体" w:eastAsia="黑体" w:cs="黑体"/>
          <w:bCs/>
          <w:szCs w:val="32"/>
        </w:rPr>
        <w:instrText xml:space="preserve"> HYPERLINK \l _Toc700 </w:instrText>
      </w:r>
      <w:r>
        <w:rPr>
          <w:rFonts w:hint="eastAsia" w:ascii="黑体" w:hAnsi="黑体" w:eastAsia="黑体" w:cs="黑体"/>
          <w:bCs/>
          <w:szCs w:val="32"/>
        </w:rPr>
        <w:fldChar w:fldCharType="separate"/>
      </w:r>
      <w:r>
        <w:rPr>
          <w:rFonts w:hint="eastAsia" w:ascii="楷体" w:hAnsi="楷体" w:eastAsia="楷体" w:cs="楷体"/>
          <w:sz w:val="32"/>
          <w:szCs w:val="32"/>
          <w:lang w:eastAsia="zh-CN"/>
        </w:rPr>
        <w:t>第三节  实施重大项目</w:t>
      </w:r>
      <w:r>
        <w:rPr>
          <w:rFonts w:hint="eastAsia" w:ascii="黑体" w:hAnsi="黑体" w:eastAsia="黑体" w:cs="黑体"/>
          <w:bCs/>
          <w:kern w:val="2"/>
          <w:sz w:val="32"/>
          <w:szCs w:val="32"/>
          <w:lang w:val="en-US" w:eastAsia="zh-CN" w:bidi="ar-SA"/>
        </w:rPr>
        <w:tab/>
      </w:r>
      <w:r>
        <w:rPr>
          <w:rFonts w:hint="eastAsia" w:ascii="黑体" w:hAnsi="黑体" w:eastAsia="黑体" w:cs="黑体"/>
          <w:bCs/>
          <w:kern w:val="2"/>
          <w:sz w:val="32"/>
          <w:szCs w:val="32"/>
          <w:lang w:val="en-US" w:eastAsia="zh-CN" w:bidi="ar-SA"/>
        </w:rPr>
        <w:fldChar w:fldCharType="begin"/>
      </w:r>
      <w:r>
        <w:rPr>
          <w:rFonts w:hint="eastAsia" w:ascii="黑体" w:hAnsi="黑体" w:eastAsia="黑体" w:cs="黑体"/>
          <w:bCs/>
          <w:kern w:val="2"/>
          <w:sz w:val="32"/>
          <w:szCs w:val="32"/>
          <w:lang w:val="en-US" w:eastAsia="zh-CN" w:bidi="ar-SA"/>
        </w:rPr>
        <w:instrText xml:space="preserve"> PAGEREF _Toc700 </w:instrText>
      </w:r>
      <w:r>
        <w:rPr>
          <w:rFonts w:hint="eastAsia" w:ascii="黑体" w:hAnsi="黑体" w:eastAsia="黑体" w:cs="黑体"/>
          <w:bCs/>
          <w:kern w:val="2"/>
          <w:sz w:val="32"/>
          <w:szCs w:val="32"/>
          <w:lang w:val="en-US" w:eastAsia="zh-CN" w:bidi="ar-SA"/>
        </w:rPr>
        <w:fldChar w:fldCharType="separate"/>
      </w:r>
      <w:r>
        <w:rPr>
          <w:rFonts w:hint="eastAsia" w:ascii="黑体" w:hAnsi="黑体" w:eastAsia="黑体" w:cs="黑体"/>
          <w:bCs/>
          <w:kern w:val="2"/>
          <w:sz w:val="32"/>
          <w:szCs w:val="32"/>
          <w:lang w:val="en-US" w:eastAsia="zh-CN" w:bidi="ar-SA"/>
        </w:rPr>
        <w:t>51</w:t>
      </w:r>
      <w:r>
        <w:rPr>
          <w:rFonts w:hint="eastAsia" w:ascii="黑体" w:hAnsi="黑体" w:eastAsia="黑体" w:cs="黑体"/>
          <w:bCs/>
          <w:kern w:val="2"/>
          <w:sz w:val="32"/>
          <w:szCs w:val="32"/>
          <w:lang w:val="en-US" w:eastAsia="zh-CN" w:bidi="ar-SA"/>
        </w:rPr>
        <w:fldChar w:fldCharType="end"/>
      </w:r>
      <w:r>
        <w:rPr>
          <w:rFonts w:hint="eastAsia" w:ascii="黑体" w:hAnsi="黑体" w:eastAsia="黑体" w:cs="黑体"/>
          <w:bCs/>
          <w:szCs w:val="32"/>
        </w:rPr>
        <w:fldChar w:fldCharType="end"/>
      </w:r>
    </w:p>
    <w:p>
      <w:pPr>
        <w:pStyle w:val="2"/>
        <w:tabs>
          <w:tab w:val="right" w:leader="dot" w:pos="8640"/>
        </w:tabs>
      </w:pPr>
      <w:r>
        <w:rPr>
          <w:rFonts w:hint="eastAsia" w:ascii="黑体" w:hAnsi="黑体" w:eastAsia="黑体" w:cs="黑体"/>
          <w:bCs/>
          <w:szCs w:val="32"/>
        </w:rPr>
        <w:fldChar w:fldCharType="begin"/>
      </w:r>
      <w:r>
        <w:rPr>
          <w:rFonts w:hint="eastAsia" w:ascii="黑体" w:hAnsi="黑体" w:eastAsia="黑体" w:cs="黑体"/>
          <w:bCs/>
          <w:szCs w:val="32"/>
        </w:rPr>
        <w:instrText xml:space="preserve"> HYPERLINK \l _Toc19185 </w:instrText>
      </w:r>
      <w:r>
        <w:rPr>
          <w:rFonts w:hint="eastAsia" w:ascii="黑体" w:hAnsi="黑体" w:eastAsia="黑体" w:cs="黑体"/>
          <w:bCs/>
          <w:szCs w:val="32"/>
        </w:rPr>
        <w:fldChar w:fldCharType="separate"/>
      </w:r>
      <w:r>
        <w:rPr>
          <w:rFonts w:hint="eastAsia" w:ascii="楷体" w:hAnsi="楷体" w:eastAsia="楷体" w:cs="楷体"/>
          <w:sz w:val="32"/>
          <w:szCs w:val="32"/>
          <w:lang w:eastAsia="zh-CN"/>
        </w:rPr>
        <w:t>第四节  强化规划实施</w:t>
      </w:r>
      <w:r>
        <w:rPr>
          <w:rFonts w:hint="eastAsia" w:ascii="黑体" w:hAnsi="黑体" w:eastAsia="黑体" w:cs="黑体"/>
          <w:bCs/>
          <w:kern w:val="2"/>
          <w:sz w:val="32"/>
          <w:szCs w:val="32"/>
          <w:lang w:val="en-US" w:eastAsia="zh-CN" w:bidi="ar-SA"/>
        </w:rPr>
        <w:tab/>
      </w:r>
      <w:r>
        <w:rPr>
          <w:rFonts w:hint="eastAsia" w:ascii="黑体" w:hAnsi="黑体" w:eastAsia="黑体" w:cs="黑体"/>
          <w:bCs/>
          <w:kern w:val="2"/>
          <w:sz w:val="32"/>
          <w:szCs w:val="32"/>
          <w:lang w:val="en-US" w:eastAsia="zh-CN" w:bidi="ar-SA"/>
        </w:rPr>
        <w:fldChar w:fldCharType="begin"/>
      </w:r>
      <w:r>
        <w:rPr>
          <w:rFonts w:hint="eastAsia" w:ascii="黑体" w:hAnsi="黑体" w:eastAsia="黑体" w:cs="黑体"/>
          <w:bCs/>
          <w:kern w:val="2"/>
          <w:sz w:val="32"/>
          <w:szCs w:val="32"/>
          <w:lang w:val="en-US" w:eastAsia="zh-CN" w:bidi="ar-SA"/>
        </w:rPr>
        <w:instrText xml:space="preserve"> PAGEREF _Toc19185 </w:instrText>
      </w:r>
      <w:r>
        <w:rPr>
          <w:rFonts w:hint="eastAsia" w:ascii="黑体" w:hAnsi="黑体" w:eastAsia="黑体" w:cs="黑体"/>
          <w:bCs/>
          <w:kern w:val="2"/>
          <w:sz w:val="32"/>
          <w:szCs w:val="32"/>
          <w:lang w:val="en-US" w:eastAsia="zh-CN" w:bidi="ar-SA"/>
        </w:rPr>
        <w:fldChar w:fldCharType="separate"/>
      </w:r>
      <w:r>
        <w:rPr>
          <w:rFonts w:hint="eastAsia" w:ascii="黑体" w:hAnsi="黑体" w:eastAsia="黑体" w:cs="黑体"/>
          <w:bCs/>
          <w:kern w:val="2"/>
          <w:sz w:val="32"/>
          <w:szCs w:val="32"/>
          <w:lang w:val="en-US" w:eastAsia="zh-CN" w:bidi="ar-SA"/>
        </w:rPr>
        <w:t>51</w:t>
      </w:r>
      <w:r>
        <w:rPr>
          <w:rFonts w:hint="eastAsia" w:ascii="黑体" w:hAnsi="黑体" w:eastAsia="黑体" w:cs="黑体"/>
          <w:bCs/>
          <w:kern w:val="2"/>
          <w:sz w:val="32"/>
          <w:szCs w:val="32"/>
          <w:lang w:val="en-US" w:eastAsia="zh-CN" w:bidi="ar-SA"/>
        </w:rPr>
        <w:fldChar w:fldCharType="end"/>
      </w:r>
      <w:r>
        <w:rPr>
          <w:rFonts w:hint="eastAsia" w:ascii="黑体" w:hAnsi="黑体" w:eastAsia="黑体" w:cs="黑体"/>
          <w:bCs/>
          <w:szCs w:val="32"/>
        </w:rPr>
        <w:fldChar w:fldCharType="end"/>
      </w:r>
    </w:p>
    <w:p>
      <w:pPr>
        <w:pStyle w:val="10"/>
        <w:tabs>
          <w:tab w:val="right" w:leader="dot" w:pos="8640"/>
        </w:tabs>
      </w:pPr>
      <w:r>
        <w:rPr>
          <w:rFonts w:hint="eastAsia" w:ascii="黑体" w:hAnsi="黑体" w:eastAsia="黑体" w:cs="黑体"/>
          <w:bCs/>
          <w:sz w:val="32"/>
          <w:szCs w:val="32"/>
        </w:rPr>
        <w:fldChar w:fldCharType="begin"/>
      </w:r>
      <w:r>
        <w:rPr>
          <w:rFonts w:hint="eastAsia" w:ascii="黑体" w:hAnsi="黑体" w:eastAsia="黑体" w:cs="黑体"/>
          <w:bCs/>
          <w:sz w:val="32"/>
          <w:szCs w:val="32"/>
        </w:rPr>
        <w:instrText xml:space="preserve"> HYPERLINK \l _Toc6903 </w:instrText>
      </w:r>
      <w:r>
        <w:rPr>
          <w:rFonts w:hint="eastAsia" w:ascii="黑体" w:hAnsi="黑体" w:eastAsia="黑体" w:cs="黑体"/>
          <w:bCs/>
          <w:sz w:val="32"/>
          <w:szCs w:val="32"/>
        </w:rPr>
        <w:fldChar w:fldCharType="separate"/>
      </w:r>
      <w:r>
        <w:rPr>
          <w:rFonts w:hint="eastAsia" w:ascii="黑体" w:hAnsi="黑体" w:eastAsia="黑体" w:cs="黑体"/>
          <w:bCs/>
          <w:sz w:val="32"/>
          <w:szCs w:val="32"/>
          <w:lang w:val="en-US" w:eastAsia="zh-CN"/>
        </w:rPr>
        <w:t>附件：汕尾市城区人力资源和社会保障事业发展“十四五”规划重大项目表</w:t>
      </w:r>
      <w:r>
        <w:rPr>
          <w:rFonts w:hint="eastAsia" w:ascii="黑体" w:hAnsi="黑体" w:eastAsia="黑体" w:cs="黑体"/>
          <w:bCs/>
          <w:sz w:val="32"/>
          <w:szCs w:val="32"/>
        </w:rPr>
        <w:tab/>
      </w:r>
      <w:r>
        <w:rPr>
          <w:rFonts w:hint="eastAsia" w:ascii="黑体" w:hAnsi="黑体" w:eastAsia="黑体" w:cs="黑体"/>
          <w:bCs/>
          <w:sz w:val="32"/>
          <w:szCs w:val="32"/>
        </w:rPr>
        <w:fldChar w:fldCharType="begin"/>
      </w:r>
      <w:r>
        <w:rPr>
          <w:rFonts w:hint="eastAsia" w:ascii="黑体" w:hAnsi="黑体" w:eastAsia="黑体" w:cs="黑体"/>
          <w:bCs/>
          <w:sz w:val="32"/>
          <w:szCs w:val="32"/>
        </w:rPr>
        <w:instrText xml:space="preserve"> PAGEREF _Toc6903 </w:instrText>
      </w:r>
      <w:r>
        <w:rPr>
          <w:rFonts w:hint="eastAsia" w:ascii="黑体" w:hAnsi="黑体" w:eastAsia="黑体" w:cs="黑体"/>
          <w:bCs/>
          <w:sz w:val="32"/>
          <w:szCs w:val="32"/>
        </w:rPr>
        <w:fldChar w:fldCharType="separate"/>
      </w:r>
      <w:r>
        <w:rPr>
          <w:rFonts w:hint="eastAsia" w:ascii="黑体" w:hAnsi="黑体" w:eastAsia="黑体" w:cs="黑体"/>
          <w:bCs/>
          <w:sz w:val="32"/>
          <w:szCs w:val="32"/>
        </w:rPr>
        <w:t>53</w:t>
      </w:r>
      <w:r>
        <w:rPr>
          <w:rFonts w:hint="eastAsia" w:ascii="黑体" w:hAnsi="黑体" w:eastAsia="黑体" w:cs="黑体"/>
          <w:bCs/>
          <w:sz w:val="32"/>
          <w:szCs w:val="32"/>
        </w:rPr>
        <w:fldChar w:fldCharType="end"/>
      </w:r>
      <w:r>
        <w:rPr>
          <w:rFonts w:hint="eastAsia" w:ascii="黑体" w:hAnsi="黑体" w:eastAsia="黑体" w:cs="黑体"/>
          <w:bCs/>
          <w:sz w:val="32"/>
          <w:szCs w:val="32"/>
        </w:rPr>
        <w:fldChar w:fldCharType="end"/>
      </w:r>
    </w:p>
    <w:p>
      <w:pPr>
        <w:keepNext w:val="0"/>
        <w:keepLines w:val="0"/>
        <w:pageBreakBefore w:val="0"/>
        <w:widowControl w:val="0"/>
        <w:kinsoku/>
        <w:wordWrap/>
        <w:overflowPunct/>
        <w:topLinePunct w:val="0"/>
        <w:autoSpaceDE/>
        <w:autoSpaceDN/>
        <w:bidi w:val="0"/>
        <w:adjustRightInd w:val="0"/>
        <w:snapToGrid w:val="0"/>
        <w:spacing w:line="560" w:lineRule="exact"/>
        <w:ind w:right="0" w:rightChars="0" w:firstLine="0" w:firstLineChars="0"/>
        <w:jc w:val="both"/>
        <w:textAlignment w:val="auto"/>
        <w:outlineLvl w:val="9"/>
        <w:rPr>
          <w:rStyle w:val="17"/>
          <w:rFonts w:ascii="仿宋_GB2312" w:hAnsi="仿宋" w:eastAsia="仿宋_GB2312" w:cs="仿宋"/>
          <w:bCs/>
          <w:sz w:val="32"/>
          <w:szCs w:val="32"/>
        </w:rPr>
      </w:pPr>
      <w:r>
        <w:rPr>
          <w:rFonts w:hint="eastAsia" w:ascii="黑体" w:hAnsi="黑体" w:eastAsia="黑体" w:cs="黑体"/>
          <w:bCs/>
          <w:szCs w:val="32"/>
        </w:rPr>
        <w:fldChar w:fldCharType="end"/>
      </w:r>
    </w:p>
    <w:p>
      <w:pPr>
        <w:keepLines w:val="0"/>
        <w:pageBreakBefore w:val="0"/>
        <w:kinsoku/>
        <w:wordWrap/>
        <w:overflowPunct/>
        <w:topLinePunct w:val="0"/>
        <w:autoSpaceDE/>
        <w:autoSpaceDN/>
        <w:bidi w:val="0"/>
        <w:adjustRightInd w:val="0"/>
        <w:snapToGrid w:val="0"/>
        <w:spacing w:line="560" w:lineRule="exact"/>
        <w:ind w:firstLine="640" w:firstLineChars="200"/>
        <w:rPr>
          <w:rStyle w:val="17"/>
          <w:rFonts w:ascii="仿宋_GB2312" w:hAnsi="仿宋" w:eastAsia="仿宋_GB2312" w:cs="仿宋"/>
          <w:bCs/>
          <w:sz w:val="32"/>
          <w:szCs w:val="32"/>
        </w:rPr>
      </w:pPr>
    </w:p>
    <w:p>
      <w:pPr>
        <w:keepLines w:val="0"/>
        <w:pageBreakBefore w:val="0"/>
        <w:kinsoku/>
        <w:wordWrap/>
        <w:overflowPunct/>
        <w:topLinePunct w:val="0"/>
        <w:autoSpaceDE/>
        <w:autoSpaceDN/>
        <w:bidi w:val="0"/>
        <w:adjustRightInd w:val="0"/>
        <w:snapToGrid w:val="0"/>
        <w:spacing w:line="560" w:lineRule="exact"/>
        <w:ind w:firstLine="640" w:firstLineChars="200"/>
        <w:rPr>
          <w:rStyle w:val="17"/>
          <w:rFonts w:ascii="仿宋_GB2312" w:hAnsi="仿宋" w:eastAsia="仿宋_GB2312" w:cs="仿宋"/>
          <w:bCs/>
          <w:sz w:val="32"/>
          <w:szCs w:val="32"/>
        </w:rPr>
        <w:sectPr>
          <w:pgSz w:w="12240" w:h="15840"/>
          <w:pgMar w:top="1440" w:right="1800" w:bottom="1440" w:left="1800" w:header="720" w:footer="720" w:gutter="0"/>
          <w:pgNumType w:start="1"/>
          <w:cols w:space="720" w:num="1"/>
        </w:sectPr>
      </w:pPr>
    </w:p>
    <w:p>
      <w:pPr>
        <w:keepLines w:val="0"/>
        <w:pageBreakBefore w:val="0"/>
        <w:kinsoku/>
        <w:wordWrap/>
        <w:overflowPunct/>
        <w:topLinePunct w:val="0"/>
        <w:autoSpaceDE/>
        <w:autoSpaceDN/>
        <w:bidi w:val="0"/>
        <w:adjustRightInd w:val="0"/>
        <w:snapToGrid w:val="0"/>
        <w:spacing w:line="560" w:lineRule="exact"/>
        <w:ind w:firstLine="640" w:firstLineChars="200"/>
        <w:rPr>
          <w:rStyle w:val="17"/>
          <w:rFonts w:ascii="仿宋_GB2312" w:hAnsi="仿宋" w:eastAsia="仿宋_GB2312" w:cs="仿宋"/>
          <w:bCs/>
          <w:sz w:val="32"/>
          <w:szCs w:val="32"/>
        </w:rPr>
      </w:pPr>
      <w:r>
        <w:rPr>
          <w:rStyle w:val="17"/>
          <w:rFonts w:hint="eastAsia" w:ascii="仿宋_GB2312" w:hAnsi="仿宋" w:eastAsia="仿宋_GB2312" w:cs="仿宋"/>
          <w:bCs/>
          <w:sz w:val="32"/>
          <w:szCs w:val="32"/>
        </w:rPr>
        <w:t>根据《</w:t>
      </w:r>
      <w:r>
        <w:rPr>
          <w:rStyle w:val="17"/>
          <w:rFonts w:hint="eastAsia" w:ascii="仿宋_GB2312" w:hAnsi="仿宋" w:eastAsia="仿宋_GB2312" w:cs="仿宋"/>
          <w:bCs/>
          <w:sz w:val="32"/>
          <w:szCs w:val="32"/>
          <w:lang w:eastAsia="zh-CN"/>
        </w:rPr>
        <w:t>汕尾市</w:t>
      </w:r>
      <w:r>
        <w:rPr>
          <w:rStyle w:val="17"/>
          <w:rFonts w:hint="eastAsia" w:ascii="仿宋_GB2312" w:hAnsi="仿宋" w:eastAsia="仿宋_GB2312" w:cs="仿宋"/>
          <w:bCs/>
          <w:sz w:val="32"/>
          <w:szCs w:val="32"/>
        </w:rPr>
        <w:t>人力资源和社会保障事业发展“十四五”规划》和《汕尾市</w:t>
      </w:r>
      <w:r>
        <w:rPr>
          <w:rStyle w:val="17"/>
          <w:rFonts w:hint="eastAsia" w:ascii="仿宋_GB2312" w:hAnsi="仿宋" w:eastAsia="仿宋_GB2312" w:cs="仿宋"/>
          <w:bCs/>
          <w:sz w:val="32"/>
          <w:szCs w:val="32"/>
          <w:lang w:eastAsia="zh-CN"/>
        </w:rPr>
        <w:t>城区</w:t>
      </w:r>
      <w:r>
        <w:rPr>
          <w:rStyle w:val="17"/>
          <w:rFonts w:hint="eastAsia" w:ascii="仿宋_GB2312" w:hAnsi="仿宋" w:eastAsia="仿宋_GB2312" w:cs="仿宋"/>
          <w:bCs/>
          <w:sz w:val="32"/>
          <w:szCs w:val="32"/>
        </w:rPr>
        <w:t>国民经济和社会发展第十四个五年规划</w:t>
      </w:r>
      <w:r>
        <w:rPr>
          <w:rStyle w:val="17"/>
          <w:rFonts w:hint="eastAsia" w:ascii="仿宋_GB2312" w:hAnsi="仿宋" w:eastAsia="仿宋_GB2312" w:cs="仿宋"/>
          <w:bCs/>
          <w:sz w:val="32"/>
          <w:szCs w:val="32"/>
          <w:lang w:eastAsia="zh-CN"/>
        </w:rPr>
        <w:t>和二</w:t>
      </w:r>
      <w:r>
        <w:rPr>
          <w:rStyle w:val="17"/>
          <w:rFonts w:hint="eastAsia" w:ascii="仿宋_GB2312" w:hAnsi="仿宋" w:eastAsia="仿宋_GB2312" w:cs="仿宋"/>
          <w:bCs/>
          <w:sz w:val="32"/>
          <w:szCs w:val="32"/>
          <w:lang w:val="en-US" w:eastAsia="zh-CN"/>
        </w:rPr>
        <w:t>0三五年远景目标纲</w:t>
      </w:r>
      <w:r>
        <w:rPr>
          <w:rStyle w:val="17"/>
          <w:rFonts w:hint="eastAsia" w:ascii="仿宋_GB2312" w:hAnsi="仿宋" w:eastAsia="仿宋_GB2312" w:cs="仿宋"/>
          <w:bCs/>
          <w:sz w:val="32"/>
          <w:szCs w:val="32"/>
        </w:rPr>
        <w:t>要》，为谋划推进全</w:t>
      </w:r>
      <w:r>
        <w:rPr>
          <w:rStyle w:val="17"/>
          <w:rFonts w:hint="eastAsia" w:ascii="仿宋_GB2312" w:hAnsi="仿宋" w:eastAsia="仿宋_GB2312" w:cs="仿宋"/>
          <w:bCs/>
          <w:sz w:val="32"/>
          <w:szCs w:val="32"/>
          <w:lang w:eastAsia="zh-CN"/>
        </w:rPr>
        <w:t>区</w:t>
      </w:r>
      <w:r>
        <w:rPr>
          <w:rStyle w:val="17"/>
          <w:rFonts w:hint="eastAsia" w:ascii="仿宋_GB2312" w:hAnsi="仿宋" w:eastAsia="仿宋_GB2312" w:cs="仿宋"/>
          <w:bCs/>
          <w:sz w:val="32"/>
          <w:szCs w:val="32"/>
        </w:rPr>
        <w:t>人力资源和社会保障事业迈上更高水平，制定本规划，规划期限为2</w:t>
      </w:r>
      <w:r>
        <w:rPr>
          <w:rStyle w:val="17"/>
          <w:rFonts w:ascii="仿宋_GB2312" w:hAnsi="仿宋" w:eastAsia="仿宋_GB2312" w:cs="仿宋"/>
          <w:bCs/>
          <w:sz w:val="32"/>
          <w:szCs w:val="32"/>
        </w:rPr>
        <w:t>021</w:t>
      </w:r>
      <w:r>
        <w:rPr>
          <w:rStyle w:val="17"/>
          <w:rFonts w:hint="eastAsia" w:ascii="仿宋_GB2312" w:hAnsi="仿宋" w:eastAsia="仿宋_GB2312" w:cs="仿宋"/>
          <w:bCs/>
          <w:sz w:val="32"/>
          <w:szCs w:val="32"/>
        </w:rPr>
        <w:t>-</w:t>
      </w:r>
      <w:r>
        <w:rPr>
          <w:rStyle w:val="17"/>
          <w:rFonts w:ascii="仿宋_GB2312" w:hAnsi="仿宋" w:eastAsia="仿宋_GB2312" w:cs="仿宋"/>
          <w:bCs/>
          <w:sz w:val="32"/>
          <w:szCs w:val="32"/>
        </w:rPr>
        <w:t>2025年</w:t>
      </w:r>
      <w:r>
        <w:rPr>
          <w:rStyle w:val="17"/>
          <w:rFonts w:hint="eastAsia" w:ascii="仿宋_GB2312" w:hAnsi="仿宋" w:eastAsia="仿宋_GB2312" w:cs="仿宋"/>
          <w:bCs/>
          <w:sz w:val="32"/>
          <w:szCs w:val="32"/>
        </w:rPr>
        <w:t>。</w:t>
      </w:r>
    </w:p>
    <w:p>
      <w:pPr>
        <w:pStyle w:val="3"/>
        <w:keepLines w:val="0"/>
        <w:pageBreakBefore w:val="0"/>
        <w:kinsoku/>
        <w:wordWrap/>
        <w:overflowPunct/>
        <w:topLinePunct w:val="0"/>
        <w:autoSpaceDE/>
        <w:autoSpaceDN/>
        <w:bidi w:val="0"/>
        <w:adjustRightInd w:val="0"/>
        <w:snapToGrid w:val="0"/>
        <w:spacing w:before="120" w:beforeLines="50" w:after="120" w:afterLines="50" w:line="560" w:lineRule="exact"/>
        <w:jc w:val="center"/>
        <w:rPr>
          <w:rFonts w:ascii="Calibri" w:hAnsi="Calibri" w:eastAsia="黑体"/>
          <w:sz w:val="44"/>
          <w:szCs w:val="44"/>
          <w:lang w:val="en-US" w:eastAsia="zh-CN"/>
        </w:rPr>
      </w:pPr>
      <w:bookmarkStart w:id="0" w:name="_Toc22112"/>
      <w:bookmarkStart w:id="1" w:name="_Toc9610"/>
      <w:r>
        <w:rPr>
          <w:rFonts w:hint="eastAsia" w:ascii="Calibri" w:hAnsi="Calibri" w:eastAsia="黑体"/>
          <w:sz w:val="44"/>
          <w:szCs w:val="44"/>
          <w:lang w:val="en-US" w:eastAsia="zh-CN"/>
        </w:rPr>
        <w:t>第一章  发展基础和机遇挑战</w:t>
      </w:r>
      <w:bookmarkEnd w:id="0"/>
      <w:bookmarkEnd w:id="1"/>
      <w:bookmarkStart w:id="2" w:name="_Toc512"/>
    </w:p>
    <w:p>
      <w:pPr>
        <w:pStyle w:val="4"/>
        <w:keepNext w:val="0"/>
        <w:keepLines w:val="0"/>
        <w:pageBreakBefore w:val="0"/>
        <w:kinsoku/>
        <w:wordWrap/>
        <w:overflowPunct/>
        <w:topLinePunct w:val="0"/>
        <w:autoSpaceDE/>
        <w:autoSpaceDN/>
        <w:bidi w:val="0"/>
        <w:adjustRightInd w:val="0"/>
        <w:snapToGrid w:val="0"/>
        <w:spacing w:before="120" w:beforeLines="50" w:after="120" w:afterLines="50" w:line="560" w:lineRule="exact"/>
        <w:ind w:left="200"/>
        <w:jc w:val="center"/>
        <w:rPr>
          <w:rFonts w:ascii="Cambria" w:hAnsi="Cambria" w:eastAsia="楷体_GB2312"/>
          <w:color w:val="000000"/>
          <w:sz w:val="34"/>
        </w:rPr>
      </w:pPr>
      <w:bookmarkStart w:id="3" w:name="_Toc15996"/>
      <w:bookmarkStart w:id="4" w:name="_Toc5245"/>
      <w:r>
        <w:rPr>
          <w:rFonts w:hint="eastAsia" w:ascii="Cambria" w:hAnsi="Cambria" w:eastAsia="楷体_GB2312"/>
          <w:color w:val="000000"/>
          <w:sz w:val="34"/>
        </w:rPr>
        <w:t>第一节  发展基础</w:t>
      </w:r>
      <w:bookmarkEnd w:id="2"/>
      <w:bookmarkEnd w:id="3"/>
      <w:bookmarkEnd w:id="4"/>
    </w:p>
    <w:p>
      <w:pPr>
        <w:keepLines w:val="0"/>
        <w:pageBreakBefore w:val="0"/>
        <w:kinsoku/>
        <w:wordWrap/>
        <w:overflowPunct/>
        <w:topLinePunct w:val="0"/>
        <w:autoSpaceDE/>
        <w:autoSpaceDN/>
        <w:bidi w:val="0"/>
        <w:adjustRightInd w:val="0"/>
        <w:snapToGrid w:val="0"/>
        <w:spacing w:line="560" w:lineRule="exact"/>
        <w:ind w:firstLine="640" w:firstLineChars="200"/>
        <w:rPr>
          <w:rStyle w:val="17"/>
          <w:rFonts w:ascii="仿宋_GB2312" w:hAnsi="仿宋" w:eastAsia="仿宋_GB2312" w:cs="仿宋"/>
          <w:bCs/>
          <w:sz w:val="32"/>
          <w:szCs w:val="32"/>
        </w:rPr>
      </w:pPr>
      <w:r>
        <w:rPr>
          <w:rStyle w:val="17"/>
          <w:rFonts w:hint="eastAsia" w:hAnsi="仿宋" w:eastAsia="仿宋_GB2312" w:cs="仿宋"/>
          <w:bCs/>
          <w:sz w:val="32"/>
          <w:szCs w:val="32"/>
        </w:rPr>
        <w:t>“十三五”时期是我</w:t>
      </w:r>
      <w:r>
        <w:rPr>
          <w:rStyle w:val="17"/>
          <w:rFonts w:hint="eastAsia" w:hAnsi="仿宋" w:eastAsia="仿宋_GB2312" w:cs="仿宋"/>
          <w:bCs/>
          <w:sz w:val="32"/>
          <w:szCs w:val="32"/>
          <w:lang w:eastAsia="zh-CN"/>
        </w:rPr>
        <w:t>区</w:t>
      </w:r>
      <w:r>
        <w:rPr>
          <w:rStyle w:val="17"/>
          <w:rFonts w:hint="eastAsia" w:hAnsi="仿宋" w:eastAsia="仿宋_GB2312" w:cs="仿宋"/>
          <w:bCs/>
          <w:sz w:val="32"/>
          <w:szCs w:val="32"/>
        </w:rPr>
        <w:t>人力资源和社会保障事业迈出重要步伐、取得新的重大成绩、发展质量大幅提升的五年。五年来，</w:t>
      </w:r>
      <w:r>
        <w:rPr>
          <w:rStyle w:val="17"/>
          <w:rFonts w:hint="eastAsia" w:hAnsi="仿宋" w:eastAsia="仿宋_GB2312" w:cs="仿宋"/>
          <w:bCs/>
          <w:sz w:val="32"/>
          <w:szCs w:val="32"/>
          <w:lang w:eastAsia="zh-CN"/>
        </w:rPr>
        <w:t>全</w:t>
      </w:r>
      <w:r>
        <w:rPr>
          <w:rStyle w:val="17"/>
          <w:rFonts w:hint="eastAsia" w:ascii="仿宋_GB2312" w:hAnsi="仿宋" w:eastAsia="仿宋_GB2312" w:cs="仿宋"/>
          <w:bCs/>
          <w:sz w:val="32"/>
          <w:szCs w:val="32"/>
          <w:lang w:eastAsia="zh-CN"/>
        </w:rPr>
        <w:t>区</w:t>
      </w:r>
      <w:r>
        <w:rPr>
          <w:rStyle w:val="17"/>
          <w:rFonts w:hint="eastAsia" w:ascii="仿宋_GB2312" w:hAnsi="仿宋" w:eastAsia="仿宋_GB2312" w:cs="仿宋"/>
          <w:bCs/>
          <w:sz w:val="32"/>
          <w:szCs w:val="32"/>
        </w:rPr>
        <w:t>人力资源和社会保障部门坚决贯彻</w:t>
      </w:r>
      <w:r>
        <w:rPr>
          <w:rStyle w:val="17"/>
          <w:rFonts w:hint="eastAsia" w:ascii="仿宋_GB2312" w:hAnsi="仿宋" w:eastAsia="仿宋_GB2312" w:cs="仿宋"/>
          <w:bCs/>
          <w:sz w:val="32"/>
          <w:szCs w:val="32"/>
          <w:lang w:eastAsia="zh-CN"/>
        </w:rPr>
        <w:t>区</w:t>
      </w:r>
      <w:r>
        <w:rPr>
          <w:rStyle w:val="17"/>
          <w:rFonts w:hint="eastAsia" w:ascii="仿宋_GB2312" w:hAnsi="仿宋" w:eastAsia="仿宋_GB2312" w:cs="仿宋"/>
          <w:bCs/>
          <w:sz w:val="32"/>
          <w:szCs w:val="32"/>
        </w:rPr>
        <w:t>委、</w:t>
      </w:r>
      <w:r>
        <w:rPr>
          <w:rStyle w:val="17"/>
          <w:rFonts w:hint="eastAsia" w:ascii="仿宋_GB2312" w:hAnsi="仿宋" w:eastAsia="仿宋_GB2312" w:cs="仿宋"/>
          <w:bCs/>
          <w:sz w:val="32"/>
          <w:szCs w:val="32"/>
          <w:lang w:eastAsia="zh-CN"/>
        </w:rPr>
        <w:t>区</w:t>
      </w:r>
      <w:r>
        <w:rPr>
          <w:rStyle w:val="17"/>
          <w:rFonts w:hint="eastAsia" w:ascii="仿宋_GB2312" w:hAnsi="仿宋" w:eastAsia="仿宋_GB2312" w:cs="仿宋"/>
          <w:bCs/>
          <w:sz w:val="32"/>
          <w:szCs w:val="32"/>
        </w:rPr>
        <w:t>政府和</w:t>
      </w:r>
      <w:r>
        <w:rPr>
          <w:rStyle w:val="17"/>
          <w:rFonts w:hint="eastAsia" w:ascii="仿宋_GB2312" w:hAnsi="仿宋" w:eastAsia="仿宋_GB2312" w:cs="仿宋"/>
          <w:bCs/>
          <w:sz w:val="32"/>
          <w:szCs w:val="32"/>
          <w:lang w:eastAsia="zh-CN"/>
        </w:rPr>
        <w:t>市</w:t>
      </w:r>
      <w:r>
        <w:rPr>
          <w:rStyle w:val="17"/>
          <w:rFonts w:hint="eastAsia" w:ascii="仿宋_GB2312" w:hAnsi="仿宋" w:eastAsia="仿宋_GB2312" w:cs="仿宋"/>
          <w:bCs/>
          <w:sz w:val="32"/>
          <w:szCs w:val="32"/>
        </w:rPr>
        <w:t>人力资源和社会保障</w:t>
      </w:r>
      <w:r>
        <w:rPr>
          <w:rStyle w:val="17"/>
          <w:rFonts w:hint="eastAsia" w:ascii="仿宋_GB2312" w:hAnsi="仿宋" w:eastAsia="仿宋_GB2312" w:cs="仿宋"/>
          <w:bCs/>
          <w:sz w:val="32"/>
          <w:szCs w:val="32"/>
          <w:lang w:eastAsia="zh-CN"/>
        </w:rPr>
        <w:t>局</w:t>
      </w:r>
      <w:r>
        <w:rPr>
          <w:rStyle w:val="17"/>
          <w:rFonts w:hint="eastAsia" w:ascii="仿宋_GB2312" w:hAnsi="仿宋" w:eastAsia="仿宋_GB2312" w:cs="仿宋"/>
          <w:bCs/>
          <w:sz w:val="32"/>
          <w:szCs w:val="32"/>
        </w:rPr>
        <w:t>的决策部署，</w:t>
      </w:r>
      <w:r>
        <w:rPr>
          <w:rStyle w:val="17"/>
          <w:rFonts w:hint="eastAsia" w:hAnsi="仿宋" w:eastAsia="仿宋_GB2312" w:cs="仿宋"/>
          <w:bCs/>
          <w:sz w:val="32"/>
          <w:szCs w:val="32"/>
        </w:rPr>
        <w:t>对标“四个走在全国前列”，全面实施“民生为本、人才优先”战略，坚持以人民为中心，坚持稳中求进，凝心聚力、攻坚克难、善于创新、勇于实践，全面完成“十三五”时期主要目标任务，为</w:t>
      </w:r>
      <w:r>
        <w:rPr>
          <w:rStyle w:val="17"/>
          <w:rFonts w:hint="eastAsia" w:hAnsi="仿宋" w:eastAsia="仿宋_GB2312" w:cs="仿宋"/>
          <w:bCs/>
          <w:sz w:val="32"/>
          <w:szCs w:val="32"/>
          <w:lang w:eastAsia="zh-CN"/>
        </w:rPr>
        <w:t>服务</w:t>
      </w:r>
      <w:r>
        <w:rPr>
          <w:rStyle w:val="17"/>
          <w:rFonts w:hint="eastAsia" w:hAnsi="仿宋" w:eastAsia="仿宋_GB2312" w:cs="仿宋"/>
          <w:bCs/>
          <w:sz w:val="32"/>
          <w:szCs w:val="32"/>
        </w:rPr>
        <w:t>保障改善民生，实施创新驱动战略，加快转变经济发展方式和维护社会和谐稳定作出重要贡献，为“十四五”时期发展奠定了坚实的基础。</w:t>
      </w:r>
    </w:p>
    <w:p>
      <w:pPr>
        <w:keepLines w:val="0"/>
        <w:pageBreakBefore w:val="0"/>
        <w:kinsoku/>
        <w:wordWrap/>
        <w:overflowPunct/>
        <w:topLinePunct w:val="0"/>
        <w:autoSpaceDE/>
        <w:autoSpaceDN/>
        <w:bidi w:val="0"/>
        <w:adjustRightInd w:val="0"/>
        <w:snapToGrid w:val="0"/>
        <w:spacing w:line="560" w:lineRule="exact"/>
        <w:ind w:firstLine="643" w:firstLineChars="200"/>
        <w:rPr>
          <w:rFonts w:hint="eastAsia" w:ascii="仿宋_GB2312" w:hAnsi="楷体_GB2312" w:eastAsia="仿宋_GB2312" w:cs="楷体_GB2312"/>
          <w:color w:val="auto"/>
          <w:sz w:val="32"/>
          <w:szCs w:val="32"/>
        </w:rPr>
      </w:pPr>
      <w:r>
        <w:rPr>
          <w:rStyle w:val="17"/>
          <w:rFonts w:hint="eastAsia" w:hAnsi="仿宋" w:eastAsia="仿宋_GB2312" w:cs="仿宋"/>
          <w:b/>
          <w:bCs/>
          <w:sz w:val="32"/>
          <w:szCs w:val="32"/>
        </w:rPr>
        <w:t>稳岗扩就业成效显著。</w:t>
      </w:r>
      <w:r>
        <w:rPr>
          <w:rStyle w:val="17"/>
          <w:rFonts w:hint="eastAsia" w:hAnsi="仿宋" w:eastAsia="仿宋_GB2312" w:cs="仿宋"/>
          <w:bCs/>
          <w:sz w:val="32"/>
          <w:szCs w:val="32"/>
        </w:rPr>
        <w:t>深入实施就业优先政策，稳就业政策体系进一步丰富完善，</w:t>
      </w:r>
      <w:r>
        <w:rPr>
          <w:rStyle w:val="17"/>
          <w:rFonts w:hint="eastAsia" w:hAnsi="仿宋" w:eastAsia="仿宋_GB2312" w:cs="仿宋"/>
          <w:bCs/>
          <w:sz w:val="32"/>
          <w:szCs w:val="32"/>
          <w:lang w:eastAsia="zh-CN"/>
        </w:rPr>
        <w:t>全面落实</w:t>
      </w:r>
      <w:r>
        <w:rPr>
          <w:rStyle w:val="17"/>
          <w:rFonts w:ascii="仿宋_GB2312" w:hAnsi="仿宋" w:eastAsia="仿宋_GB2312" w:cs="仿宋"/>
          <w:bCs/>
          <w:sz w:val="32"/>
          <w:szCs w:val="32"/>
        </w:rPr>
        <w:t>2.0</w:t>
      </w:r>
      <w:r>
        <w:rPr>
          <w:rStyle w:val="17"/>
          <w:rFonts w:hint="eastAsia" w:hAnsi="仿宋" w:eastAsia="仿宋_GB2312" w:cs="仿宋"/>
          <w:bCs/>
          <w:sz w:val="32"/>
          <w:szCs w:val="32"/>
        </w:rPr>
        <w:t>版“促进就业九条”，</w:t>
      </w:r>
      <w:r>
        <w:rPr>
          <w:rStyle w:val="17"/>
          <w:rFonts w:hint="eastAsia" w:hAnsi="仿宋" w:eastAsia="仿宋_GB2312" w:cs="仿宋"/>
          <w:bCs/>
          <w:sz w:val="32"/>
          <w:szCs w:val="32"/>
          <w:lang w:eastAsia="zh-CN"/>
        </w:rPr>
        <w:t>抓好</w:t>
      </w:r>
      <w:r>
        <w:rPr>
          <w:rStyle w:val="17"/>
          <w:rFonts w:hint="eastAsia" w:hAnsi="仿宋" w:eastAsia="仿宋_GB2312" w:cs="仿宋"/>
          <w:bCs/>
          <w:sz w:val="32"/>
          <w:szCs w:val="32"/>
        </w:rPr>
        <w:t>“用工保障</w:t>
      </w:r>
      <w:r>
        <w:rPr>
          <w:rStyle w:val="17"/>
          <w:rFonts w:ascii="仿宋_GB2312" w:hAnsi="仿宋" w:eastAsia="仿宋_GB2312" w:cs="仿宋"/>
          <w:bCs/>
          <w:sz w:val="32"/>
          <w:szCs w:val="32"/>
        </w:rPr>
        <w:t>7</w:t>
      </w:r>
      <w:r>
        <w:rPr>
          <w:rStyle w:val="17"/>
          <w:rFonts w:hint="eastAsia" w:hAnsi="仿宋" w:eastAsia="仿宋_GB2312" w:cs="仿宋"/>
          <w:bCs/>
          <w:sz w:val="32"/>
          <w:szCs w:val="32"/>
        </w:rPr>
        <w:t>条”，细化支持高校毕业生、农民工等重点群体就业政策措施，推出</w:t>
      </w:r>
      <w:r>
        <w:rPr>
          <w:rStyle w:val="17"/>
          <w:rFonts w:hint="eastAsia" w:hAnsi="仿宋" w:eastAsia="仿宋_GB2312" w:cs="仿宋"/>
          <w:bCs/>
          <w:sz w:val="32"/>
          <w:szCs w:val="32"/>
          <w:lang w:eastAsia="zh-CN"/>
        </w:rPr>
        <w:t>和抓好</w:t>
      </w:r>
      <w:r>
        <w:rPr>
          <w:rStyle w:val="17"/>
          <w:rFonts w:hint="eastAsia" w:hAnsi="仿宋" w:eastAsia="仿宋_GB2312" w:cs="仿宋"/>
          <w:bCs/>
          <w:sz w:val="32"/>
          <w:szCs w:val="32"/>
        </w:rPr>
        <w:t>一系列减负稳岗扩就业的政策举措。</w:t>
      </w:r>
      <w:r>
        <w:rPr>
          <w:rFonts w:hint="eastAsia" w:ascii="仿宋_GB2312" w:hAnsi="仿宋_GB2312" w:eastAsia="仿宋_GB2312" w:cs="仿宋_GB2312"/>
          <w:color w:val="auto"/>
          <w:kern w:val="2"/>
          <w:sz w:val="32"/>
          <w:szCs w:val="32"/>
          <w:lang w:val="en-US" w:eastAsia="zh-CN" w:bidi="ar-SA"/>
        </w:rPr>
        <w:t>落实积极就业政策，切实推进就业创业工作。</w:t>
      </w:r>
      <w:r>
        <w:rPr>
          <w:rFonts w:hint="eastAsia" w:ascii="仿宋_GB2312" w:hAnsi="仿宋_GB2312" w:eastAsia="仿宋_GB2312" w:cs="仿宋_GB2312"/>
          <w:color w:val="auto"/>
          <w:sz w:val="32"/>
          <w:szCs w:val="32"/>
        </w:rPr>
        <w:t>认定区级创业孵化基地1家（汕尾市前瞻高等理工研究院），为创业初</w:t>
      </w:r>
      <w:r>
        <w:rPr>
          <w:rFonts w:hint="eastAsia" w:ascii="仿宋_GB2312" w:hAnsi="楷体_GB2312" w:eastAsia="仿宋_GB2312" w:cs="楷体_GB2312"/>
          <w:color w:val="auto"/>
          <w:sz w:val="32"/>
          <w:szCs w:val="32"/>
        </w:rPr>
        <w:t>始人员提供政策扶持、项目论证、创业培训、创业实训、开业指导等“</w:t>
      </w:r>
      <w:r>
        <w:rPr>
          <w:rFonts w:hint="eastAsia" w:ascii="仿宋_GB2312" w:hAnsi="仿宋_GB2312" w:eastAsia="仿宋_GB2312" w:cs="仿宋_GB2312"/>
          <w:color w:val="auto"/>
          <w:sz w:val="32"/>
          <w:szCs w:val="32"/>
        </w:rPr>
        <w:t>一站式”服务，实现“孵化促创业、创业带</w:t>
      </w:r>
      <w:r>
        <w:rPr>
          <w:rFonts w:hint="eastAsia" w:ascii="仿宋_GB2312" w:hAnsi="楷体_GB2312" w:eastAsia="仿宋_GB2312" w:cs="楷体_GB2312"/>
          <w:color w:val="auto"/>
          <w:sz w:val="32"/>
          <w:szCs w:val="32"/>
        </w:rPr>
        <w:t>就业、就业促发展”。创建我区首个省级“粤菜师傅”技能大师工作室和区级“粤菜师傅”培训基地。全面实施“粤菜师傅”“广东技工”“南粤家政”三项工程，劳动者素养普遍提升。</w:t>
      </w:r>
      <w:r>
        <w:rPr>
          <w:rFonts w:hint="eastAsia" w:ascii="仿宋_GB2312" w:hAnsi="楷体_GB2312" w:eastAsia="仿宋_GB2312" w:cs="楷体_GB2312"/>
          <w:color w:val="auto"/>
          <w:sz w:val="32"/>
          <w:szCs w:val="32"/>
          <w:lang w:eastAsia="zh-CN"/>
        </w:rPr>
        <w:t>认定</w:t>
      </w:r>
      <w:r>
        <w:rPr>
          <w:rFonts w:hint="eastAsia" w:ascii="仿宋-GB2312" w:hAnsi="仿宋-GB2312" w:eastAsia="仿宋-GB2312" w:cs="仿宋-GB2312"/>
          <w:b w:val="0"/>
          <w:i w:val="0"/>
          <w:caps w:val="0"/>
          <w:color w:val="auto"/>
          <w:spacing w:val="0"/>
          <w:w w:val="100"/>
          <w:kern w:val="2"/>
          <w:sz w:val="32"/>
          <w:szCs w:val="32"/>
          <w:lang w:val="en-US" w:eastAsia="zh-CN" w:bidi="ar-SA"/>
        </w:rPr>
        <w:t>汕尾逸挥基金医院、汕尾德昌电子有限公司、汕尾天贸新能源科技有限公司、汕尾城市在线传媒有限公司和汕尾万盛针织时装有限公司等5家高校毕业生就业见习基地,认定汕尾市口腔医院有限公司、汕尾市农粤科技有限公司、汕尾中山医院、广东恒宇信息科技有限公司和汕尾市众汇职业培训学校学校等5家就业见习单位，充分发挥就业见习基地和见习单位的作用，加强人才储备力量，改善本地人才队伍结构，满足本地区经济社会发展对人才的需求。</w:t>
      </w:r>
      <w:r>
        <w:rPr>
          <w:rFonts w:hint="eastAsia" w:ascii="仿宋_GB2312" w:hAnsi="楷体_GB2312" w:eastAsia="仿宋_GB2312" w:cs="楷体_GB2312"/>
          <w:color w:val="auto"/>
          <w:sz w:val="32"/>
          <w:szCs w:val="32"/>
        </w:rPr>
        <w:t>多措并举稳就业，中美经贸斗争、新冠肺炎疫情等影响下失业风险得到有效控制，就业局势总体保持稳定。就业规模继续扩大，城镇就业比重进一步上升，劳动者就地就近就业和返乡创业增多，区域就业结构更趋均衡。“十三五”期间，全</w:t>
      </w:r>
      <w:r>
        <w:rPr>
          <w:rFonts w:hint="eastAsia" w:ascii="仿宋_GB2312" w:hAnsi="楷体_GB2312" w:eastAsia="仿宋_GB2312" w:cs="楷体_GB2312"/>
          <w:color w:val="auto"/>
          <w:sz w:val="32"/>
          <w:szCs w:val="32"/>
          <w:lang w:eastAsia="zh-CN"/>
        </w:rPr>
        <w:t>区</w:t>
      </w:r>
      <w:r>
        <w:rPr>
          <w:rFonts w:hint="eastAsia" w:ascii="仿宋_GB2312" w:hAnsi="楷体_GB2312" w:eastAsia="仿宋_GB2312" w:cs="楷体_GB2312"/>
          <w:color w:val="auto"/>
          <w:sz w:val="32"/>
          <w:szCs w:val="32"/>
        </w:rPr>
        <w:t>城镇新增就业</w:t>
      </w:r>
      <w:r>
        <w:rPr>
          <w:rFonts w:hint="eastAsia" w:ascii="仿宋_GB2312" w:hAnsi="楷体_GB2312" w:eastAsia="仿宋_GB2312" w:cs="楷体_GB2312"/>
          <w:color w:val="auto"/>
          <w:sz w:val="32"/>
          <w:szCs w:val="32"/>
          <w:lang w:val="en-US" w:eastAsia="zh-CN"/>
        </w:rPr>
        <w:t>3.02</w:t>
      </w:r>
      <w:r>
        <w:rPr>
          <w:rFonts w:hint="eastAsia" w:ascii="仿宋_GB2312" w:hAnsi="楷体_GB2312" w:eastAsia="仿宋_GB2312" w:cs="楷体_GB2312"/>
          <w:color w:val="auto"/>
          <w:sz w:val="32"/>
          <w:szCs w:val="32"/>
        </w:rPr>
        <w:t>万人，失业人员再就</w:t>
      </w:r>
      <w:r>
        <w:rPr>
          <w:rFonts w:hint="eastAsia" w:ascii="仿宋_GB2312" w:hAnsi="楷体_GB2312" w:eastAsia="仿宋_GB2312" w:cs="楷体_GB2312"/>
          <w:color w:val="auto"/>
          <w:sz w:val="32"/>
          <w:szCs w:val="32"/>
          <w:lang w:val="en-US" w:eastAsia="zh-CN"/>
        </w:rPr>
        <w:t>业1.21万人</w:t>
      </w:r>
      <w:r>
        <w:rPr>
          <w:rFonts w:hint="eastAsia" w:ascii="仿宋_GB2312" w:hAnsi="楷体_GB2312" w:eastAsia="仿宋_GB2312" w:cs="楷体_GB2312"/>
          <w:color w:val="auto"/>
          <w:sz w:val="32"/>
          <w:szCs w:val="32"/>
        </w:rPr>
        <w:t>，就业困难人员再就业</w:t>
      </w:r>
      <w:r>
        <w:rPr>
          <w:rFonts w:hint="eastAsia" w:ascii="仿宋_GB2312" w:hAnsi="楷体_GB2312" w:eastAsia="仿宋_GB2312" w:cs="楷体_GB2312"/>
          <w:color w:val="auto"/>
          <w:sz w:val="32"/>
          <w:szCs w:val="32"/>
          <w:lang w:val="en-US" w:eastAsia="zh-CN"/>
        </w:rPr>
        <w:t>0.2万</w:t>
      </w:r>
      <w:r>
        <w:rPr>
          <w:rFonts w:hint="eastAsia" w:ascii="仿宋_GB2312" w:hAnsi="楷体_GB2312" w:eastAsia="仿宋_GB2312" w:cs="楷体_GB2312"/>
          <w:color w:val="auto"/>
          <w:sz w:val="32"/>
          <w:szCs w:val="32"/>
        </w:rPr>
        <w:t>人；2020年末城镇登记失业率控制在2.33%，控制在目标任务</w:t>
      </w:r>
      <w:r>
        <w:rPr>
          <w:rFonts w:hint="eastAsia" w:ascii="仿宋_GB2312" w:hAnsi="楷体_GB2312" w:eastAsia="仿宋_GB2312" w:cs="楷体_GB2312"/>
          <w:color w:val="auto"/>
          <w:sz w:val="32"/>
          <w:szCs w:val="32"/>
          <w:lang w:val="en-US" w:eastAsia="zh-CN"/>
        </w:rPr>
        <w:t>3.0%</w:t>
      </w:r>
      <w:r>
        <w:rPr>
          <w:rFonts w:hint="eastAsia" w:ascii="仿宋_GB2312" w:hAnsi="楷体_GB2312" w:eastAsia="仿宋_GB2312" w:cs="楷体_GB2312"/>
          <w:color w:val="auto"/>
          <w:sz w:val="32"/>
          <w:szCs w:val="32"/>
        </w:rPr>
        <w:t>以内。</w:t>
      </w:r>
    </w:p>
    <w:p>
      <w:pPr>
        <w:keepLines w:val="0"/>
        <w:pageBreakBefore w:val="0"/>
        <w:kinsoku/>
        <w:wordWrap/>
        <w:overflowPunct/>
        <w:topLinePunct w:val="0"/>
        <w:autoSpaceDE/>
        <w:autoSpaceDN/>
        <w:bidi w:val="0"/>
        <w:adjustRightInd w:val="0"/>
        <w:snapToGrid w:val="0"/>
        <w:spacing w:line="560" w:lineRule="exact"/>
        <w:ind w:firstLine="643" w:firstLineChars="200"/>
        <w:rPr>
          <w:rStyle w:val="17"/>
          <w:rFonts w:ascii="仿宋_GB2312" w:hAnsi="仿宋" w:eastAsia="仿宋_GB2312" w:cs="仿宋"/>
          <w:bCs/>
          <w:color w:val="auto"/>
          <w:sz w:val="32"/>
          <w:szCs w:val="32"/>
        </w:rPr>
      </w:pPr>
      <w:r>
        <w:rPr>
          <w:rStyle w:val="17"/>
          <w:rFonts w:hint="eastAsia" w:ascii="仿宋_GB2312" w:hAnsi="仿宋" w:eastAsia="仿宋_GB2312" w:cs="仿宋"/>
          <w:b/>
          <w:bCs/>
          <w:sz w:val="32"/>
          <w:szCs w:val="32"/>
        </w:rPr>
        <w:t>社会保障水平稳步提高。</w:t>
      </w:r>
      <w:r>
        <w:rPr>
          <w:rStyle w:val="17"/>
          <w:rFonts w:hint="eastAsia" w:ascii="仿宋_GB2312" w:hAnsi="仿宋" w:eastAsia="仿宋_GB2312" w:cs="仿宋"/>
          <w:b w:val="0"/>
          <w:bCs/>
          <w:color w:val="auto"/>
          <w:sz w:val="32"/>
          <w:szCs w:val="32"/>
        </w:rPr>
        <w:t>深</w:t>
      </w:r>
      <w:r>
        <w:rPr>
          <w:rStyle w:val="17"/>
          <w:rFonts w:hint="eastAsia" w:hAnsi="仿宋" w:eastAsia="仿宋_GB2312" w:cs="仿宋"/>
          <w:b w:val="0"/>
          <w:bCs/>
          <w:color w:val="auto"/>
          <w:sz w:val="32"/>
          <w:szCs w:val="32"/>
        </w:rPr>
        <w:t>化社保体制机制改革，扩面征</w:t>
      </w:r>
      <w:r>
        <w:rPr>
          <w:rStyle w:val="17"/>
          <w:rFonts w:hint="eastAsia" w:hAnsi="仿宋" w:eastAsia="仿宋_GB2312" w:cs="仿宋"/>
          <w:bCs/>
          <w:color w:val="auto"/>
          <w:sz w:val="32"/>
          <w:szCs w:val="32"/>
        </w:rPr>
        <w:t>缴持续推进，完成企业职工基本养老保险、工伤保险基金省级统筹，失业保险基金省级统筹、城乡居民养老保险市级统筹管理稳步推进，机关事业单位养老保险制度改革稳妥推进，职业年金、企业年金迈出改革步伐。强化发挥社会保险稽核内控作用，社会保险基金总体</w:t>
      </w:r>
      <w:r>
        <w:rPr>
          <w:rStyle w:val="17"/>
          <w:rFonts w:hint="eastAsia" w:ascii="仿宋_GB2312" w:hAnsi="仿宋" w:eastAsia="仿宋_GB2312" w:cs="仿宋"/>
          <w:bCs/>
          <w:color w:val="auto"/>
          <w:sz w:val="32"/>
          <w:szCs w:val="32"/>
        </w:rPr>
        <w:t>安</w:t>
      </w:r>
      <w:r>
        <w:rPr>
          <w:rStyle w:val="17"/>
          <w:rFonts w:hint="eastAsia" w:ascii="Times New Roman" w:hAnsi="仿宋" w:eastAsia="仿宋_GB2312" w:cs="仿宋"/>
          <w:bCs/>
          <w:color w:val="auto"/>
          <w:sz w:val="32"/>
          <w:szCs w:val="32"/>
        </w:rPr>
        <w:t>全完整。截至2020年底，全</w:t>
      </w:r>
      <w:r>
        <w:rPr>
          <w:rStyle w:val="17"/>
          <w:rFonts w:hint="eastAsia" w:ascii="Times New Roman" w:hAnsi="仿宋" w:eastAsia="仿宋_GB2312" w:cs="仿宋"/>
          <w:bCs/>
          <w:color w:val="auto"/>
          <w:sz w:val="32"/>
          <w:szCs w:val="32"/>
          <w:lang w:eastAsia="zh-CN"/>
        </w:rPr>
        <w:t>区</w:t>
      </w:r>
      <w:r>
        <w:rPr>
          <w:rStyle w:val="17"/>
          <w:rFonts w:hint="eastAsia" w:ascii="Times New Roman" w:hAnsi="仿宋" w:eastAsia="仿宋_GB2312" w:cs="仿宋"/>
          <w:bCs/>
          <w:color w:val="auto"/>
          <w:sz w:val="32"/>
          <w:szCs w:val="32"/>
        </w:rPr>
        <w:t>养老、失业、工伤三大险种参保</w:t>
      </w:r>
      <w:r>
        <w:rPr>
          <w:rStyle w:val="17"/>
          <w:rFonts w:hint="eastAsia" w:ascii="Times New Roman" w:hAnsi="仿宋" w:eastAsia="仿宋_GB2312" w:cs="仿宋"/>
          <w:bCs/>
          <w:color w:val="auto"/>
          <w:sz w:val="32"/>
          <w:szCs w:val="32"/>
          <w:lang w:eastAsia="zh-CN"/>
        </w:rPr>
        <w:t>人数为</w:t>
      </w:r>
      <w:r>
        <w:rPr>
          <w:rStyle w:val="17"/>
          <w:rFonts w:hint="eastAsia" w:ascii="Times New Roman" w:hAnsi="仿宋" w:eastAsia="仿宋_GB2312" w:cs="仿宋"/>
          <w:bCs/>
          <w:color w:val="auto"/>
          <w:sz w:val="32"/>
          <w:szCs w:val="32"/>
          <w:lang w:val="en-US" w:eastAsia="zh-CN"/>
        </w:rPr>
        <w:t>28779人、7552人、12555</w:t>
      </w:r>
      <w:r>
        <w:rPr>
          <w:rStyle w:val="17"/>
          <w:rFonts w:hint="eastAsia" w:ascii="Times New Roman" w:hAnsi="仿宋" w:eastAsia="仿宋_GB2312" w:cs="仿宋"/>
          <w:bCs/>
          <w:color w:val="auto"/>
          <w:sz w:val="32"/>
          <w:szCs w:val="32"/>
        </w:rPr>
        <w:t>人，企业退休人员基本养老金提升至2020元，比“十二五”期末增长</w:t>
      </w:r>
      <w:r>
        <w:rPr>
          <w:rStyle w:val="17"/>
          <w:rFonts w:hint="eastAsia" w:ascii="Times New Roman" w:hAnsi="仿宋" w:eastAsia="仿宋_GB2312" w:cs="仿宋"/>
          <w:bCs/>
          <w:color w:val="auto"/>
          <w:sz w:val="32"/>
          <w:szCs w:val="32"/>
          <w:lang w:val="en-US" w:eastAsia="zh-CN"/>
        </w:rPr>
        <w:t>17.3%</w:t>
      </w:r>
      <w:r>
        <w:rPr>
          <w:rStyle w:val="17"/>
          <w:rFonts w:hint="eastAsia" w:ascii="Times New Roman" w:hAnsi="仿宋" w:eastAsia="仿宋_GB2312" w:cs="仿宋"/>
          <w:bCs/>
          <w:color w:val="auto"/>
          <w:sz w:val="32"/>
          <w:szCs w:val="32"/>
        </w:rPr>
        <w:t>。城乡居保基础养老金最低标准提高至每人每月</w:t>
      </w:r>
      <w:r>
        <w:rPr>
          <w:rStyle w:val="17"/>
          <w:rFonts w:hint="eastAsia" w:ascii="Times New Roman" w:hAnsi="仿宋" w:eastAsia="仿宋_GB2312" w:cs="仿宋"/>
          <w:bCs/>
          <w:color w:val="auto"/>
          <w:sz w:val="32"/>
          <w:szCs w:val="32"/>
          <w:lang w:val="en-US" w:eastAsia="zh-CN"/>
        </w:rPr>
        <w:t>180</w:t>
      </w:r>
      <w:r>
        <w:rPr>
          <w:rStyle w:val="17"/>
          <w:rFonts w:hint="eastAsia" w:ascii="Times New Roman" w:hAnsi="仿宋" w:eastAsia="仿宋_GB2312" w:cs="仿宋"/>
          <w:bCs/>
          <w:color w:val="auto"/>
          <w:sz w:val="32"/>
          <w:szCs w:val="32"/>
        </w:rPr>
        <w:t>元，比“十二五”期末增长了</w:t>
      </w:r>
      <w:r>
        <w:rPr>
          <w:rStyle w:val="17"/>
          <w:rFonts w:hint="eastAsia" w:ascii="Times New Roman" w:hAnsi="仿宋" w:eastAsia="仿宋_GB2312" w:cs="仿宋"/>
          <w:bCs/>
          <w:color w:val="auto"/>
          <w:sz w:val="32"/>
          <w:szCs w:val="32"/>
          <w:lang w:val="en-US" w:eastAsia="zh-CN"/>
        </w:rPr>
        <w:t>80</w:t>
      </w:r>
      <w:r>
        <w:rPr>
          <w:rStyle w:val="17"/>
          <w:rFonts w:hint="eastAsia" w:ascii="Times New Roman" w:hAnsi="仿宋" w:eastAsia="仿宋_GB2312" w:cs="仿宋"/>
          <w:bCs/>
          <w:color w:val="auto"/>
          <w:sz w:val="32"/>
          <w:szCs w:val="32"/>
        </w:rPr>
        <w:t>%。一次性工亡补助金从57.7</w:t>
      </w:r>
      <w:r>
        <w:rPr>
          <w:rStyle w:val="17"/>
          <w:rFonts w:hint="eastAsia" w:ascii="仿宋_GB2312" w:hAnsi="仿宋" w:eastAsia="仿宋_GB2312" w:cs="仿宋"/>
          <w:bCs/>
          <w:color w:val="auto"/>
          <w:sz w:val="32"/>
          <w:szCs w:val="32"/>
        </w:rPr>
        <w:t>万元提高至84.7万元，工伤伤残津贴标准从月人均2801提高至月人均3866元。社会保障卡持卡人数达</w:t>
      </w:r>
      <w:r>
        <w:rPr>
          <w:rStyle w:val="17"/>
          <w:rFonts w:hint="eastAsia" w:ascii="仿宋_GB2312" w:hAnsi="仿宋" w:eastAsia="仿宋_GB2312" w:cs="仿宋"/>
          <w:bCs/>
          <w:color w:val="auto"/>
          <w:sz w:val="32"/>
          <w:szCs w:val="32"/>
          <w:lang w:val="en-US" w:eastAsia="zh-CN"/>
        </w:rPr>
        <w:t>42.89</w:t>
      </w:r>
      <w:r>
        <w:rPr>
          <w:rStyle w:val="17"/>
          <w:rFonts w:hint="eastAsia" w:ascii="仿宋_GB2312" w:hAnsi="仿宋" w:eastAsia="仿宋_GB2312" w:cs="仿宋"/>
          <w:bCs/>
          <w:color w:val="auto"/>
          <w:sz w:val="32"/>
          <w:szCs w:val="32"/>
        </w:rPr>
        <w:t>万人，基本实现常住人口全覆盖。</w:t>
      </w:r>
    </w:p>
    <w:p>
      <w:pPr>
        <w:keepLines w:val="0"/>
        <w:pageBreakBefore w:val="0"/>
        <w:kinsoku/>
        <w:wordWrap/>
        <w:overflowPunct/>
        <w:topLinePunct w:val="0"/>
        <w:autoSpaceDE/>
        <w:autoSpaceDN/>
        <w:bidi w:val="0"/>
        <w:adjustRightInd w:val="0"/>
        <w:snapToGrid w:val="0"/>
        <w:spacing w:line="560" w:lineRule="exact"/>
        <w:ind w:firstLine="643" w:firstLineChars="200"/>
        <w:rPr>
          <w:rStyle w:val="17"/>
          <w:rFonts w:hint="eastAsia" w:ascii="仿宋_GB2312" w:hAnsi="仿宋" w:eastAsia="仿宋_GB2312" w:cs="仿宋"/>
          <w:bCs/>
          <w:sz w:val="32"/>
          <w:szCs w:val="32"/>
        </w:rPr>
      </w:pPr>
      <w:r>
        <w:rPr>
          <w:rStyle w:val="17"/>
          <w:rFonts w:hint="eastAsia" w:ascii="仿宋_GB2312" w:hAnsi="仿宋" w:eastAsia="仿宋_GB2312" w:cs="仿宋"/>
          <w:b/>
          <w:bCs/>
          <w:sz w:val="32"/>
          <w:szCs w:val="32"/>
        </w:rPr>
        <w:t>人才队伍不断壮大。</w:t>
      </w:r>
      <w:r>
        <w:rPr>
          <w:rStyle w:val="17"/>
          <w:rFonts w:hint="eastAsia" w:ascii="仿宋_GB2312" w:hAnsi="仿宋" w:eastAsia="仿宋_GB2312" w:cs="仿宋"/>
          <w:bCs/>
          <w:sz w:val="32"/>
          <w:szCs w:val="32"/>
        </w:rPr>
        <w:t>落实</w:t>
      </w:r>
      <w:r>
        <w:rPr>
          <w:rStyle w:val="17"/>
          <w:rFonts w:hint="eastAsia" w:ascii="仿宋_GB2312" w:hAnsi="仿宋" w:eastAsia="仿宋_GB2312" w:cs="仿宋"/>
          <w:bCs/>
          <w:color w:val="auto"/>
          <w:sz w:val="32"/>
          <w:szCs w:val="32"/>
          <w:lang w:val="en-US" w:eastAsia="zh-CN"/>
        </w:rPr>
        <w:t>《汕尾市城区关于贯彻落实&lt;汕尾市红海扬帆人才计划&gt;实施意见》</w:t>
      </w:r>
      <w:r>
        <w:rPr>
          <w:rStyle w:val="17"/>
          <w:rFonts w:hint="eastAsia" w:ascii="仿宋_GB2312" w:hAnsi="仿宋" w:eastAsia="仿宋_GB2312" w:cs="仿宋"/>
          <w:bCs/>
          <w:sz w:val="32"/>
          <w:szCs w:val="32"/>
        </w:rPr>
        <w:t>，人才引进培养使用评价机制进一步完善，人才成长环境不断改善，人才规模持续扩大，人才结构进一步优化，有力支撑创新驱动发展和实体经济振兴。</w:t>
      </w:r>
    </w:p>
    <w:p>
      <w:pPr>
        <w:keepLines w:val="0"/>
        <w:pageBreakBefore w:val="0"/>
        <w:kinsoku/>
        <w:wordWrap/>
        <w:overflowPunct/>
        <w:topLinePunct w:val="0"/>
        <w:autoSpaceDE/>
        <w:autoSpaceDN/>
        <w:bidi w:val="0"/>
        <w:adjustRightInd w:val="0"/>
        <w:snapToGrid w:val="0"/>
        <w:spacing w:line="560" w:lineRule="exact"/>
        <w:ind w:firstLine="643" w:firstLineChars="200"/>
        <w:rPr>
          <w:rStyle w:val="17"/>
          <w:rFonts w:hAnsi="仿宋" w:eastAsia="仿宋_GB2312" w:cs="仿宋"/>
          <w:bCs/>
          <w:sz w:val="32"/>
          <w:szCs w:val="32"/>
        </w:rPr>
      </w:pPr>
      <w:r>
        <w:rPr>
          <w:rStyle w:val="17"/>
          <w:rFonts w:hint="eastAsia" w:hAnsi="仿宋" w:eastAsia="仿宋_GB2312" w:cs="仿宋"/>
          <w:b/>
          <w:bCs/>
          <w:sz w:val="32"/>
          <w:szCs w:val="32"/>
        </w:rPr>
        <w:t>事业单位活力明显提升。</w:t>
      </w:r>
      <w:r>
        <w:rPr>
          <w:rStyle w:val="17"/>
          <w:rFonts w:hint="eastAsia" w:hAnsi="仿宋" w:eastAsia="仿宋_GB2312" w:cs="仿宋"/>
          <w:bCs/>
          <w:color w:val="auto"/>
          <w:sz w:val="32"/>
          <w:szCs w:val="32"/>
        </w:rPr>
        <w:t>持续深化事业单位人事制度改革，配合全区推进事业单位岗位管理和人员聘用制度的建立，公开招聘扎实推进，人员流动更加便捷，平均每年新补充事业单位工作人员</w:t>
      </w:r>
      <w:r>
        <w:rPr>
          <w:rStyle w:val="17"/>
          <w:rFonts w:hAnsi="仿宋" w:eastAsia="仿宋_GB2312" w:cs="仿宋"/>
          <w:bCs/>
          <w:color w:val="auto"/>
          <w:sz w:val="32"/>
          <w:szCs w:val="32"/>
        </w:rPr>
        <w:t>200</w:t>
      </w:r>
      <w:r>
        <w:rPr>
          <w:rStyle w:val="17"/>
          <w:rFonts w:hint="eastAsia" w:hAnsi="仿宋" w:eastAsia="仿宋_GB2312" w:cs="仿宋"/>
          <w:bCs/>
          <w:color w:val="auto"/>
          <w:sz w:val="32"/>
          <w:szCs w:val="32"/>
        </w:rPr>
        <w:t>人。</w:t>
      </w:r>
      <w:r>
        <w:rPr>
          <w:rStyle w:val="17"/>
          <w:rFonts w:hint="eastAsia" w:hAnsi="仿宋" w:eastAsia="仿宋_GB2312" w:cs="仿宋"/>
          <w:bCs/>
          <w:sz w:val="32"/>
          <w:szCs w:val="32"/>
        </w:rPr>
        <w:t>事业单位绩效工资分配激励机制更加完善，事业单位基本工资标准有序调整，加大基础教育、基础医疗收入分配倾斜力度，事业单位工作人员收入水平稳步提高。</w:t>
      </w:r>
    </w:p>
    <w:p>
      <w:pPr>
        <w:keepLines w:val="0"/>
        <w:pageBreakBefore w:val="0"/>
        <w:kinsoku/>
        <w:wordWrap/>
        <w:overflowPunct/>
        <w:topLinePunct w:val="0"/>
        <w:autoSpaceDE/>
        <w:autoSpaceDN/>
        <w:bidi w:val="0"/>
        <w:adjustRightInd w:val="0"/>
        <w:snapToGrid w:val="0"/>
        <w:spacing w:line="560" w:lineRule="exact"/>
        <w:ind w:firstLine="643" w:firstLineChars="200"/>
        <w:rPr>
          <w:rStyle w:val="17"/>
          <w:rFonts w:hAnsi="仿宋" w:eastAsia="仿宋_GB2312" w:cs="仿宋"/>
          <w:bCs/>
          <w:sz w:val="32"/>
          <w:szCs w:val="32"/>
        </w:rPr>
      </w:pPr>
      <w:r>
        <w:rPr>
          <w:rStyle w:val="17"/>
          <w:rFonts w:hint="eastAsia" w:hAnsi="仿宋" w:eastAsia="仿宋_GB2312" w:cs="仿宋"/>
          <w:b/>
          <w:bCs/>
          <w:sz w:val="32"/>
          <w:szCs w:val="32"/>
        </w:rPr>
        <w:t>劳动关系总体和谐稳定。</w:t>
      </w:r>
      <w:r>
        <w:rPr>
          <w:rStyle w:val="17"/>
          <w:rFonts w:hint="eastAsia" w:hAnsi="仿宋" w:eastAsia="仿宋_GB2312" w:cs="仿宋"/>
          <w:bCs/>
          <w:sz w:val="32"/>
          <w:szCs w:val="32"/>
        </w:rPr>
        <w:t>劳动合同制度全面落实，劳动合同签订率不断提高。和谐劳动关系工作体制机制不断健全，创建和谐劳动关系示范区。劳动争议多元化化解机制趋完善，劳动人事争议调解仲裁</w:t>
      </w:r>
      <w:r>
        <w:rPr>
          <w:rStyle w:val="17"/>
          <w:rFonts w:hint="eastAsia" w:hAnsi="仿宋" w:eastAsia="仿宋_GB2312" w:cs="仿宋"/>
          <w:bCs/>
          <w:sz w:val="32"/>
          <w:szCs w:val="32"/>
          <w:lang w:eastAsia="zh-CN"/>
        </w:rPr>
        <w:t>绩效</w:t>
      </w:r>
      <w:r>
        <w:rPr>
          <w:rStyle w:val="17"/>
          <w:rFonts w:hint="eastAsia" w:hAnsi="仿宋" w:eastAsia="仿宋_GB2312" w:cs="仿宋"/>
          <w:bCs/>
          <w:sz w:val="32"/>
          <w:szCs w:val="32"/>
        </w:rPr>
        <w:t>显著提升。劳务派遣用工更加规范、政府聘员招</w:t>
      </w:r>
      <w:r>
        <w:rPr>
          <w:rStyle w:val="17"/>
          <w:rFonts w:hint="eastAsia" w:ascii="Times New Roman" w:hAnsi="仿宋" w:eastAsia="仿宋_GB2312" w:cs="仿宋"/>
          <w:bCs/>
          <w:sz w:val="32"/>
          <w:szCs w:val="32"/>
        </w:rPr>
        <w:t>聘的指导监督</w:t>
      </w:r>
      <w:r>
        <w:rPr>
          <w:rStyle w:val="17"/>
          <w:rFonts w:hint="eastAsia" w:hAnsi="仿宋" w:eastAsia="仿宋_GB2312" w:cs="仿宋"/>
          <w:bCs/>
          <w:sz w:val="32"/>
          <w:szCs w:val="32"/>
        </w:rPr>
        <w:t>更到位。劳动监察执法效能不断提升，建立健全高效快捷矛盾化解机制。举报投诉 “绿色通道”、 应急预警机制、用工实名制、工资保证金、分账管理实现基本全覆盖，不敢欠不能欠不想欠的根治欠薪制度体系逐步健全，和谐稳定的新型劳动关系逐步形成。企业薪酬调查、人工成本监测和信息发布制度进一步完善，企业职工最低工资标准稳步提</w:t>
      </w:r>
      <w:r>
        <w:rPr>
          <w:rStyle w:val="17"/>
          <w:rFonts w:hint="eastAsia" w:ascii="仿宋_GB2312" w:hAnsi="仿宋" w:eastAsia="仿宋_GB2312" w:cs="仿宋"/>
          <w:bCs/>
          <w:sz w:val="32"/>
          <w:szCs w:val="32"/>
        </w:rPr>
        <w:t>高。2020年，全</w:t>
      </w:r>
      <w:r>
        <w:rPr>
          <w:rStyle w:val="17"/>
          <w:rFonts w:hint="eastAsia" w:ascii="仿宋_GB2312" w:hAnsi="仿宋" w:eastAsia="仿宋_GB2312" w:cs="仿宋"/>
          <w:bCs/>
          <w:sz w:val="32"/>
          <w:szCs w:val="32"/>
          <w:lang w:eastAsia="zh-CN"/>
        </w:rPr>
        <w:t>区</w:t>
      </w:r>
      <w:r>
        <w:rPr>
          <w:rStyle w:val="17"/>
          <w:rFonts w:hint="eastAsia" w:ascii="仿宋_GB2312" w:hAnsi="仿宋" w:eastAsia="仿宋_GB2312" w:cs="仿宋"/>
          <w:bCs/>
          <w:sz w:val="32"/>
          <w:szCs w:val="32"/>
        </w:rPr>
        <w:t>企业劳动合同签订率达</w:t>
      </w:r>
      <w:r>
        <w:rPr>
          <w:rStyle w:val="17"/>
          <w:rFonts w:hint="eastAsia" w:ascii="仿宋_GB2312" w:hAnsi="仿宋" w:eastAsia="仿宋_GB2312" w:cs="仿宋"/>
          <w:bCs/>
          <w:sz w:val="32"/>
          <w:szCs w:val="32"/>
          <w:lang w:val="en-US" w:eastAsia="zh-CN"/>
        </w:rPr>
        <w:t>98</w:t>
      </w:r>
      <w:r>
        <w:rPr>
          <w:rStyle w:val="17"/>
          <w:rFonts w:hint="eastAsia" w:ascii="仿宋_GB2312" w:hAnsi="仿宋" w:eastAsia="仿宋_GB2312" w:cs="仿宋"/>
          <w:bCs/>
          <w:sz w:val="32"/>
          <w:szCs w:val="32"/>
        </w:rPr>
        <w:t>%，劳动人事争议调解成功率达100％，劳动人事争议仲裁结案率达100%，劳动保障监察举报投诉案件结案率达100%，最低工资标准从2015年初1010元提高到1410元，增长39.6%。</w:t>
      </w:r>
    </w:p>
    <w:p>
      <w:pPr>
        <w:keepLines w:val="0"/>
        <w:pageBreakBefore w:val="0"/>
        <w:kinsoku/>
        <w:wordWrap/>
        <w:overflowPunct/>
        <w:topLinePunct w:val="0"/>
        <w:autoSpaceDE/>
        <w:autoSpaceDN/>
        <w:bidi w:val="0"/>
        <w:adjustRightInd w:val="0"/>
        <w:snapToGrid w:val="0"/>
        <w:spacing w:line="560" w:lineRule="exact"/>
        <w:ind w:firstLine="643" w:firstLineChars="200"/>
        <w:rPr>
          <w:rFonts w:hAnsi="仿宋" w:eastAsia="仿宋_GB2312" w:cs="仿宋"/>
          <w:bCs/>
          <w:color w:val="auto"/>
          <w:sz w:val="32"/>
          <w:szCs w:val="32"/>
        </w:rPr>
      </w:pPr>
      <w:r>
        <w:rPr>
          <w:rStyle w:val="17"/>
          <w:rFonts w:hint="eastAsia" w:ascii="仿宋_GB2312" w:hAnsi="仿宋" w:eastAsia="仿宋_GB2312" w:cs="仿宋"/>
          <w:b/>
          <w:bCs/>
          <w:color w:val="auto"/>
          <w:sz w:val="32"/>
          <w:szCs w:val="32"/>
        </w:rPr>
        <w:t>基本公共服务效能明显提高。</w:t>
      </w:r>
      <w:r>
        <w:rPr>
          <w:rStyle w:val="17"/>
          <w:rFonts w:hint="eastAsia" w:ascii="仿宋_GB2312" w:hAnsi="仿宋" w:eastAsia="仿宋_GB2312" w:cs="仿宋"/>
          <w:bCs/>
          <w:color w:val="auto"/>
          <w:sz w:val="32"/>
          <w:szCs w:val="32"/>
        </w:rPr>
        <w:t>线上线下窗口服务效能显著提升</w:t>
      </w:r>
      <w:r>
        <w:rPr>
          <w:rStyle w:val="17"/>
          <w:rFonts w:hint="eastAsia" w:ascii="仿宋_GB2312" w:hAnsi="仿宋" w:eastAsia="仿宋_GB2312" w:cs="仿宋"/>
          <w:bCs/>
          <w:color w:val="auto"/>
          <w:sz w:val="32"/>
          <w:szCs w:val="32"/>
          <w:lang w:eastAsia="zh-CN"/>
        </w:rPr>
        <w:t>，</w:t>
      </w:r>
      <w:r>
        <w:rPr>
          <w:rStyle w:val="17"/>
          <w:rFonts w:hint="eastAsia" w:ascii="仿宋_GB2312" w:hAnsi="仿宋" w:eastAsia="仿宋_GB2312" w:cs="仿宋"/>
          <w:bCs/>
          <w:color w:val="auto"/>
          <w:sz w:val="32"/>
          <w:szCs w:val="32"/>
        </w:rPr>
        <w:t>依托门户网站及时发布人社政策信息，“粤省事”“省政务服务网”上线</w:t>
      </w:r>
      <w:r>
        <w:rPr>
          <w:rStyle w:val="17"/>
          <w:rFonts w:hint="eastAsia" w:ascii="仿宋_GB2312" w:hAnsi="仿宋" w:eastAsia="仿宋_GB2312" w:cs="仿宋"/>
          <w:bCs/>
          <w:color w:val="auto"/>
          <w:sz w:val="32"/>
          <w:szCs w:val="32"/>
          <w:lang w:val="en-US" w:eastAsia="zh-CN"/>
        </w:rPr>
        <w:t>199</w:t>
      </w:r>
      <w:r>
        <w:rPr>
          <w:rStyle w:val="17"/>
          <w:rFonts w:hint="eastAsia" w:ascii="仿宋_GB2312" w:hAnsi="仿宋" w:eastAsia="仿宋_GB2312" w:cs="仿宋"/>
          <w:bCs/>
          <w:color w:val="auto"/>
          <w:sz w:val="32"/>
          <w:szCs w:val="32"/>
        </w:rPr>
        <w:t>项人社服务，其中依申请+公共服务</w:t>
      </w:r>
      <w:r>
        <w:rPr>
          <w:rStyle w:val="17"/>
          <w:rFonts w:hint="eastAsia" w:ascii="仿宋_GB2312" w:hAnsi="仿宋" w:eastAsia="仿宋_GB2312" w:cs="仿宋"/>
          <w:bCs/>
          <w:color w:val="auto"/>
          <w:sz w:val="32"/>
          <w:szCs w:val="32"/>
          <w:lang w:val="en-US" w:eastAsia="zh-CN"/>
        </w:rPr>
        <w:t>82</w:t>
      </w:r>
      <w:r>
        <w:rPr>
          <w:rStyle w:val="17"/>
          <w:rFonts w:hint="eastAsia" w:ascii="仿宋_GB2312" w:hAnsi="仿宋" w:eastAsia="仿宋_GB2312" w:cs="仿宋"/>
          <w:bCs/>
          <w:color w:val="auto"/>
          <w:sz w:val="32"/>
          <w:szCs w:val="32"/>
        </w:rPr>
        <w:t>项，已实现所有事项名称、办理时限、办理材料、办理环节等要素与市规范统一。网上办比率</w:t>
      </w:r>
      <w:r>
        <w:rPr>
          <w:rStyle w:val="17"/>
          <w:rFonts w:hint="eastAsia" w:ascii="仿宋_GB2312" w:hAnsi="仿宋" w:eastAsia="仿宋_GB2312" w:cs="仿宋"/>
          <w:bCs/>
          <w:color w:val="auto"/>
          <w:sz w:val="32"/>
          <w:szCs w:val="32"/>
          <w:lang w:val="en-US" w:eastAsia="zh-CN"/>
        </w:rPr>
        <w:t>100</w:t>
      </w:r>
      <w:r>
        <w:rPr>
          <w:rStyle w:val="17"/>
          <w:rFonts w:hint="eastAsia" w:ascii="仿宋_GB2312" w:hAnsi="仿宋" w:eastAsia="仿宋_GB2312" w:cs="仿宋"/>
          <w:bCs/>
          <w:color w:val="auto"/>
          <w:sz w:val="32"/>
          <w:szCs w:val="32"/>
        </w:rPr>
        <w:t>%，全流程网办率</w:t>
      </w:r>
      <w:r>
        <w:rPr>
          <w:rStyle w:val="17"/>
          <w:rFonts w:hint="eastAsia" w:ascii="仿宋_GB2312" w:hAnsi="仿宋" w:eastAsia="仿宋_GB2312" w:cs="仿宋"/>
          <w:bCs/>
          <w:color w:val="auto"/>
          <w:sz w:val="32"/>
          <w:szCs w:val="32"/>
          <w:lang w:val="en-US" w:eastAsia="zh-CN"/>
        </w:rPr>
        <w:t>100</w:t>
      </w:r>
      <w:r>
        <w:rPr>
          <w:rStyle w:val="17"/>
          <w:rFonts w:hint="eastAsia" w:ascii="仿宋_GB2312" w:hAnsi="仿宋" w:eastAsia="仿宋_GB2312" w:cs="仿宋"/>
          <w:bCs/>
          <w:color w:val="auto"/>
          <w:sz w:val="32"/>
          <w:szCs w:val="32"/>
        </w:rPr>
        <w:t>%，承诺时限压缩比</w:t>
      </w:r>
      <w:r>
        <w:rPr>
          <w:rStyle w:val="17"/>
          <w:rFonts w:hint="eastAsia" w:ascii="仿宋_GB2312" w:hAnsi="仿宋" w:eastAsia="仿宋_GB2312" w:cs="仿宋"/>
          <w:bCs/>
          <w:color w:val="auto"/>
          <w:sz w:val="32"/>
          <w:szCs w:val="32"/>
          <w:lang w:val="en-US" w:eastAsia="zh-CN"/>
        </w:rPr>
        <w:t>97.67</w:t>
      </w:r>
      <w:r>
        <w:rPr>
          <w:rStyle w:val="17"/>
          <w:rFonts w:hint="eastAsia" w:ascii="仿宋_GB2312" w:hAnsi="仿宋" w:eastAsia="仿宋_GB2312" w:cs="仿宋"/>
          <w:bCs/>
          <w:color w:val="auto"/>
          <w:sz w:val="32"/>
          <w:szCs w:val="32"/>
        </w:rPr>
        <w:t>%。</w:t>
      </w:r>
      <w:r>
        <w:rPr>
          <w:rStyle w:val="17"/>
          <w:rFonts w:hint="eastAsia" w:ascii="仿宋_GB2312" w:hAnsi="仿宋" w:eastAsia="仿宋_GB2312" w:cs="仿宋"/>
          <w:bCs/>
          <w:color w:val="auto"/>
          <w:sz w:val="32"/>
          <w:szCs w:val="32"/>
          <w:lang w:eastAsia="zh-CN"/>
        </w:rPr>
        <w:t>区</w:t>
      </w:r>
      <w:r>
        <w:rPr>
          <w:rStyle w:val="17"/>
          <w:rFonts w:hint="eastAsia" w:ascii="仿宋_GB2312" w:hAnsi="仿宋" w:eastAsia="仿宋_GB2312" w:cs="仿宋"/>
          <w:bCs/>
          <w:color w:val="auto"/>
          <w:sz w:val="32"/>
          <w:szCs w:val="32"/>
        </w:rPr>
        <w:t>、街道（镇）、村（居）四级人力资源社会保障公共服务体系基本形成，公共服务均等化水平明显提升。</w:t>
      </w:r>
    </w:p>
    <w:p>
      <w:pPr>
        <w:keepLines w:val="0"/>
        <w:pageBreakBefore w:val="0"/>
        <w:kinsoku/>
        <w:wordWrap/>
        <w:overflowPunct/>
        <w:topLinePunct w:val="0"/>
        <w:autoSpaceDE/>
        <w:autoSpaceDN/>
        <w:bidi w:val="0"/>
        <w:adjustRightInd w:val="0"/>
        <w:snapToGrid w:val="0"/>
        <w:spacing w:line="560" w:lineRule="exact"/>
        <w:ind w:firstLine="640" w:firstLineChars="200"/>
        <w:rPr>
          <w:rFonts w:hAnsi="仿宋" w:eastAsia="仿宋_GB2312" w:cs="仿宋"/>
          <w:bCs/>
          <w:sz w:val="32"/>
          <w:szCs w:val="32"/>
        </w:rPr>
      </w:pPr>
    </w:p>
    <w:p>
      <w:pPr>
        <w:keepLines w:val="0"/>
        <w:pageBreakBefore w:val="0"/>
        <w:kinsoku/>
        <w:wordWrap/>
        <w:overflowPunct/>
        <w:topLinePunct w:val="0"/>
        <w:autoSpaceDE/>
        <w:autoSpaceDN/>
        <w:bidi w:val="0"/>
        <w:adjustRightInd w:val="0"/>
        <w:snapToGrid w:val="0"/>
        <w:spacing w:before="120" w:beforeLines="50" w:after="120" w:afterLines="50" w:line="560" w:lineRule="exact"/>
        <w:jc w:val="center"/>
        <w:rPr>
          <w:rFonts w:hint="eastAsia" w:ascii="Times New Roman" w:hAnsi="Times New Roman" w:eastAsia="黑体"/>
          <w:kern w:val="0"/>
          <w:sz w:val="28"/>
          <w:szCs w:val="28"/>
        </w:rPr>
      </w:pPr>
    </w:p>
    <w:p>
      <w:pPr>
        <w:keepLines w:val="0"/>
        <w:pageBreakBefore w:val="0"/>
        <w:kinsoku/>
        <w:wordWrap/>
        <w:overflowPunct/>
        <w:topLinePunct w:val="0"/>
        <w:autoSpaceDE/>
        <w:autoSpaceDN/>
        <w:bidi w:val="0"/>
        <w:adjustRightInd w:val="0"/>
        <w:snapToGrid w:val="0"/>
        <w:spacing w:before="120" w:beforeLines="50" w:after="120" w:afterLines="50" w:line="560" w:lineRule="exact"/>
        <w:jc w:val="center"/>
        <w:rPr>
          <w:rFonts w:hint="eastAsia" w:ascii="Times New Roman" w:hAnsi="Times New Roman" w:eastAsia="黑体"/>
          <w:kern w:val="0"/>
          <w:sz w:val="28"/>
          <w:szCs w:val="28"/>
        </w:rPr>
      </w:pPr>
    </w:p>
    <w:p>
      <w:pPr>
        <w:keepLines w:val="0"/>
        <w:pageBreakBefore w:val="0"/>
        <w:kinsoku/>
        <w:wordWrap/>
        <w:overflowPunct/>
        <w:topLinePunct w:val="0"/>
        <w:autoSpaceDE/>
        <w:autoSpaceDN/>
        <w:bidi w:val="0"/>
        <w:adjustRightInd w:val="0"/>
        <w:snapToGrid w:val="0"/>
        <w:spacing w:before="120" w:beforeLines="50" w:after="120" w:afterLines="50" w:line="560" w:lineRule="exact"/>
        <w:jc w:val="center"/>
        <w:rPr>
          <w:rFonts w:hint="eastAsia" w:ascii="Times New Roman" w:hAnsi="Times New Roman" w:eastAsia="黑体"/>
          <w:kern w:val="0"/>
          <w:sz w:val="28"/>
          <w:szCs w:val="28"/>
        </w:rPr>
      </w:pPr>
    </w:p>
    <w:p>
      <w:pPr>
        <w:keepLines w:val="0"/>
        <w:pageBreakBefore w:val="0"/>
        <w:kinsoku/>
        <w:wordWrap/>
        <w:overflowPunct/>
        <w:topLinePunct w:val="0"/>
        <w:autoSpaceDE/>
        <w:autoSpaceDN/>
        <w:bidi w:val="0"/>
        <w:adjustRightInd w:val="0"/>
        <w:snapToGrid w:val="0"/>
        <w:spacing w:before="120" w:beforeLines="50" w:after="120" w:afterLines="50" w:line="560" w:lineRule="exact"/>
        <w:jc w:val="center"/>
      </w:pPr>
      <w:r>
        <w:rPr>
          <w:rFonts w:hint="eastAsia" w:ascii="Times New Roman" w:hAnsi="Times New Roman" w:eastAsia="黑体"/>
          <w:kern w:val="0"/>
          <w:sz w:val="28"/>
          <w:szCs w:val="28"/>
          <w:lang w:eastAsia="zh-CN"/>
        </w:rPr>
        <w:t>专栏</w:t>
      </w:r>
      <w:r>
        <w:rPr>
          <w:rFonts w:hint="eastAsia" w:ascii="Times New Roman" w:hAnsi="Times New Roman" w:eastAsia="黑体"/>
          <w:kern w:val="0"/>
          <w:sz w:val="28"/>
          <w:szCs w:val="28"/>
          <w:lang w:val="en-US" w:eastAsia="zh-CN"/>
        </w:rPr>
        <w:t xml:space="preserve">1    </w:t>
      </w:r>
      <w:r>
        <w:rPr>
          <w:rFonts w:hint="eastAsia" w:ascii="Times New Roman" w:hAnsi="Times New Roman" w:eastAsia="黑体"/>
          <w:kern w:val="0"/>
          <w:sz w:val="28"/>
          <w:szCs w:val="28"/>
        </w:rPr>
        <w:t>汕尾市</w:t>
      </w:r>
      <w:r>
        <w:rPr>
          <w:rFonts w:hint="eastAsia" w:ascii="Times New Roman" w:hAnsi="Times New Roman" w:eastAsia="黑体"/>
          <w:kern w:val="0"/>
          <w:sz w:val="28"/>
          <w:szCs w:val="28"/>
          <w:lang w:eastAsia="zh-CN"/>
        </w:rPr>
        <w:t>城区</w:t>
      </w:r>
      <w:r>
        <w:rPr>
          <w:rFonts w:ascii="Times New Roman" w:hAnsi="Times New Roman" w:eastAsia="黑体"/>
          <w:kern w:val="0"/>
          <w:sz w:val="28"/>
          <w:szCs w:val="28"/>
        </w:rPr>
        <w:t>人社 “十三五”时期主要指标完成情况</w:t>
      </w:r>
    </w:p>
    <w:tbl>
      <w:tblPr>
        <w:tblStyle w:val="14"/>
        <w:tblW w:w="9579" w:type="dxa"/>
        <w:tblInd w:w="-374"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643"/>
        <w:gridCol w:w="3536"/>
        <w:gridCol w:w="826"/>
        <w:gridCol w:w="1050"/>
        <w:gridCol w:w="1007"/>
        <w:gridCol w:w="1458"/>
        <w:gridCol w:w="1059"/>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46" w:hRule="atLeast"/>
          <w:tblHeader/>
        </w:trPr>
        <w:tc>
          <w:tcPr>
            <w:tcW w:w="643"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黑体"/>
                <w:szCs w:val="21"/>
              </w:rPr>
            </w:pPr>
            <w:r>
              <w:rPr>
                <w:rFonts w:ascii="Times New Roman" w:hAnsi="Times New Roman" w:eastAsia="黑体"/>
                <w:szCs w:val="21"/>
              </w:rPr>
              <w:t>序号</w:t>
            </w:r>
          </w:p>
        </w:tc>
        <w:tc>
          <w:tcPr>
            <w:tcW w:w="3536"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黑体"/>
                <w:szCs w:val="21"/>
              </w:rPr>
            </w:pPr>
            <w:r>
              <w:rPr>
                <w:rFonts w:ascii="Times New Roman" w:hAnsi="Times New Roman" w:eastAsia="黑体"/>
                <w:szCs w:val="21"/>
              </w:rPr>
              <w:t>指标</w:t>
            </w:r>
          </w:p>
        </w:tc>
        <w:tc>
          <w:tcPr>
            <w:tcW w:w="826"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黑体"/>
                <w:szCs w:val="21"/>
              </w:rPr>
            </w:pPr>
            <w:r>
              <w:rPr>
                <w:rFonts w:ascii="Times New Roman" w:hAnsi="Times New Roman" w:eastAsia="黑体"/>
                <w:szCs w:val="21"/>
              </w:rPr>
              <w:t>单位</w:t>
            </w:r>
          </w:p>
        </w:tc>
        <w:tc>
          <w:tcPr>
            <w:tcW w:w="1050"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黑体"/>
                <w:szCs w:val="21"/>
              </w:rPr>
            </w:pPr>
            <w:r>
              <w:rPr>
                <w:rFonts w:ascii="Times New Roman" w:hAnsi="Times New Roman" w:eastAsia="黑体"/>
                <w:szCs w:val="21"/>
              </w:rPr>
              <w:t>目标值</w:t>
            </w:r>
          </w:p>
        </w:tc>
        <w:tc>
          <w:tcPr>
            <w:tcW w:w="1007"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黑体"/>
                <w:szCs w:val="21"/>
              </w:rPr>
            </w:pPr>
            <w:r>
              <w:rPr>
                <w:rFonts w:ascii="Times New Roman" w:hAnsi="Times New Roman" w:eastAsia="黑体"/>
                <w:szCs w:val="21"/>
              </w:rPr>
              <w:t>完成值</w:t>
            </w:r>
          </w:p>
        </w:tc>
        <w:tc>
          <w:tcPr>
            <w:tcW w:w="1458"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黑体"/>
                <w:szCs w:val="21"/>
              </w:rPr>
            </w:pPr>
            <w:r>
              <w:rPr>
                <w:rFonts w:ascii="Times New Roman" w:hAnsi="Times New Roman" w:eastAsia="黑体"/>
                <w:szCs w:val="21"/>
              </w:rPr>
              <w:t>完成率</w:t>
            </w:r>
          </w:p>
        </w:tc>
        <w:tc>
          <w:tcPr>
            <w:tcW w:w="1059"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黑体"/>
                <w:szCs w:val="21"/>
              </w:rPr>
            </w:pPr>
            <w:r>
              <w:rPr>
                <w:rFonts w:ascii="Times New Roman" w:hAnsi="Times New Roman" w:eastAsia="黑体"/>
                <w:szCs w:val="21"/>
              </w:rPr>
              <w:t>属性</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46" w:hRule="atLeast"/>
        </w:trPr>
        <w:tc>
          <w:tcPr>
            <w:tcW w:w="9579" w:type="dxa"/>
            <w:gridSpan w:val="7"/>
            <w:vAlign w:val="center"/>
          </w:tcPr>
          <w:p>
            <w:pPr>
              <w:keepLines w:val="0"/>
              <w:pageBreakBefore w:val="0"/>
              <w:kinsoku/>
              <w:wordWrap/>
              <w:overflowPunct/>
              <w:topLinePunct w:val="0"/>
              <w:autoSpaceDE/>
              <w:autoSpaceDN/>
              <w:bidi w:val="0"/>
              <w:adjustRightInd w:val="0"/>
              <w:snapToGrid w:val="0"/>
              <w:spacing w:before="120" w:beforeLines="50" w:line="560" w:lineRule="exact"/>
              <w:jc w:val="left"/>
            </w:pPr>
            <w:r>
              <w:rPr>
                <w:rFonts w:hint="eastAsia" w:ascii="Times New Roman" w:hAnsi="Times New Roman" w:eastAsia="黑体"/>
                <w:szCs w:val="21"/>
              </w:rPr>
              <w:t>一、就业</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25" w:hRule="atLeast"/>
        </w:trPr>
        <w:tc>
          <w:tcPr>
            <w:tcW w:w="643"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hint="eastAsia" w:ascii="Times New Roman" w:hAnsi="Times New Roman" w:eastAsia="宋体"/>
                <w:szCs w:val="21"/>
              </w:rPr>
              <w:t>1</w:t>
            </w:r>
          </w:p>
        </w:tc>
        <w:tc>
          <w:tcPr>
            <w:tcW w:w="3536"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left"/>
              <w:rPr>
                <w:rFonts w:ascii="Times New Roman" w:hAnsi="Times New Roman" w:eastAsia="宋体"/>
                <w:szCs w:val="21"/>
              </w:rPr>
            </w:pPr>
            <w:r>
              <w:rPr>
                <w:rFonts w:hint="eastAsia" w:ascii="Times New Roman" w:hAnsi="Times New Roman" w:eastAsia="宋体"/>
                <w:szCs w:val="21"/>
              </w:rPr>
              <w:t>城镇新增就业人数</w:t>
            </w:r>
          </w:p>
        </w:tc>
        <w:tc>
          <w:tcPr>
            <w:tcW w:w="826"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hint="eastAsia" w:ascii="Times New Roman" w:hAnsi="Times New Roman" w:eastAsia="宋体"/>
                <w:szCs w:val="21"/>
              </w:rPr>
              <w:t>万人</w:t>
            </w:r>
          </w:p>
        </w:tc>
        <w:tc>
          <w:tcPr>
            <w:tcW w:w="1050"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[3]</w:t>
            </w:r>
          </w:p>
        </w:tc>
        <w:tc>
          <w:tcPr>
            <w:tcW w:w="1007"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rPr>
            </w:pPr>
            <w:r>
              <w:rPr>
                <w:rFonts w:hint="eastAsia" w:ascii="Times New Roman" w:hAnsi="Times New Roman" w:eastAsia="宋体"/>
                <w:szCs w:val="21"/>
              </w:rPr>
              <w:t>[</w:t>
            </w:r>
            <w:r>
              <w:rPr>
                <w:rFonts w:hint="eastAsia" w:ascii="Times New Roman" w:hAnsi="Times New Roman" w:eastAsia="宋体"/>
                <w:szCs w:val="21"/>
                <w:lang w:val="en-US" w:eastAsia="zh-CN"/>
              </w:rPr>
              <w:t>3.02]</w:t>
            </w:r>
          </w:p>
        </w:tc>
        <w:tc>
          <w:tcPr>
            <w:tcW w:w="1458"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rPr>
              <w:t>10</w:t>
            </w:r>
            <w:r>
              <w:rPr>
                <w:rFonts w:hint="eastAsia" w:ascii="Times New Roman" w:hAnsi="Times New Roman" w:eastAsia="宋体"/>
                <w:szCs w:val="21"/>
                <w:lang w:val="en-US" w:eastAsia="zh-CN"/>
              </w:rPr>
              <w:t>6.8%</w:t>
            </w:r>
          </w:p>
        </w:tc>
        <w:tc>
          <w:tcPr>
            <w:tcW w:w="1059"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hint="eastAsia" w:ascii="Times New Roman" w:hAnsi="Times New Roman" w:eastAsia="宋体"/>
                <w:szCs w:val="21"/>
              </w:rPr>
              <w:t>预期性</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8" w:hRule="atLeast"/>
        </w:trPr>
        <w:tc>
          <w:tcPr>
            <w:tcW w:w="643"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hint="eastAsia" w:ascii="Times New Roman" w:hAnsi="Times New Roman" w:eastAsia="宋体"/>
                <w:szCs w:val="21"/>
              </w:rPr>
              <w:t>2</w:t>
            </w:r>
          </w:p>
        </w:tc>
        <w:tc>
          <w:tcPr>
            <w:tcW w:w="3536"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left"/>
              <w:rPr>
                <w:rFonts w:ascii="Times New Roman" w:hAnsi="Times New Roman" w:eastAsia="宋体"/>
                <w:szCs w:val="21"/>
              </w:rPr>
            </w:pPr>
            <w:r>
              <w:rPr>
                <w:rFonts w:hint="eastAsia" w:ascii="Times New Roman" w:hAnsi="Times New Roman" w:eastAsia="宋体"/>
                <w:szCs w:val="21"/>
              </w:rPr>
              <w:t>城镇登记失业率</w:t>
            </w:r>
          </w:p>
        </w:tc>
        <w:tc>
          <w:tcPr>
            <w:tcW w:w="826"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hint="eastAsia" w:ascii="Times New Roman" w:hAnsi="Times New Roman" w:eastAsia="宋体"/>
                <w:szCs w:val="21"/>
              </w:rPr>
              <w:t>%</w:t>
            </w:r>
          </w:p>
        </w:tc>
        <w:tc>
          <w:tcPr>
            <w:tcW w:w="1050"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hint="eastAsia" w:ascii="Times New Roman" w:hAnsi="Times New Roman" w:eastAsia="宋体"/>
                <w:szCs w:val="21"/>
              </w:rPr>
              <w:t>3.0以内</w:t>
            </w:r>
          </w:p>
        </w:tc>
        <w:tc>
          <w:tcPr>
            <w:tcW w:w="1007"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hint="eastAsia" w:ascii="Times New Roman" w:hAnsi="Times New Roman" w:eastAsia="宋体"/>
                <w:szCs w:val="21"/>
              </w:rPr>
              <w:t>3.0以内</w:t>
            </w:r>
          </w:p>
        </w:tc>
        <w:tc>
          <w:tcPr>
            <w:tcW w:w="1458"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hint="eastAsia" w:ascii="Times New Roman" w:hAnsi="Times New Roman" w:eastAsia="宋体"/>
                <w:szCs w:val="21"/>
              </w:rPr>
              <w:t>100</w:t>
            </w:r>
          </w:p>
        </w:tc>
        <w:tc>
          <w:tcPr>
            <w:tcW w:w="1059"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hint="eastAsia" w:ascii="Times New Roman" w:hAnsi="Times New Roman" w:eastAsia="宋体"/>
                <w:szCs w:val="21"/>
              </w:rPr>
              <w:t>预期性</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32" w:hRule="atLeast"/>
        </w:trPr>
        <w:tc>
          <w:tcPr>
            <w:tcW w:w="9579" w:type="dxa"/>
            <w:gridSpan w:val="7"/>
            <w:vAlign w:val="center"/>
          </w:tcPr>
          <w:p>
            <w:pPr>
              <w:keepLines w:val="0"/>
              <w:pageBreakBefore w:val="0"/>
              <w:kinsoku/>
              <w:wordWrap/>
              <w:overflowPunct/>
              <w:topLinePunct w:val="0"/>
              <w:autoSpaceDE/>
              <w:autoSpaceDN/>
              <w:bidi w:val="0"/>
              <w:adjustRightInd w:val="0"/>
              <w:snapToGrid w:val="0"/>
              <w:spacing w:before="120" w:beforeLines="50" w:line="560" w:lineRule="exact"/>
              <w:jc w:val="left"/>
            </w:pPr>
            <w:r>
              <w:rPr>
                <w:rFonts w:hint="eastAsia" w:ascii="Times New Roman" w:hAnsi="Times New Roman" w:eastAsia="黑体"/>
                <w:szCs w:val="21"/>
              </w:rPr>
              <w:t>二、社会保险</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11" w:hRule="atLeast"/>
        </w:trPr>
        <w:tc>
          <w:tcPr>
            <w:tcW w:w="643"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ascii="Times New Roman" w:hAnsi="Times New Roman" w:eastAsia="宋体"/>
                <w:szCs w:val="21"/>
              </w:rPr>
              <w:t>3</w:t>
            </w:r>
          </w:p>
        </w:tc>
        <w:tc>
          <w:tcPr>
            <w:tcW w:w="3536" w:type="dxa"/>
            <w:vAlign w:val="center"/>
          </w:tcPr>
          <w:p>
            <w:pPr>
              <w:keepLines w:val="0"/>
              <w:pageBreakBefore w:val="0"/>
              <w:kinsoku/>
              <w:wordWrap/>
              <w:overflowPunct/>
              <w:topLinePunct w:val="0"/>
              <w:autoSpaceDE/>
              <w:autoSpaceDN/>
              <w:bidi w:val="0"/>
              <w:adjustRightInd w:val="0"/>
              <w:snapToGrid w:val="0"/>
              <w:spacing w:before="120" w:beforeLines="50" w:line="560" w:lineRule="exact"/>
              <w:rPr>
                <w:rFonts w:ascii="Times New Roman" w:hAnsi="Times New Roman" w:eastAsia="宋体"/>
                <w:szCs w:val="21"/>
              </w:rPr>
            </w:pPr>
            <w:r>
              <w:rPr>
                <w:rFonts w:ascii="Times New Roman" w:hAnsi="Times New Roman" w:eastAsia="宋体"/>
                <w:szCs w:val="21"/>
              </w:rPr>
              <w:t>基本养老保险参保率</w:t>
            </w:r>
          </w:p>
        </w:tc>
        <w:tc>
          <w:tcPr>
            <w:tcW w:w="826"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ascii="Times New Roman" w:hAnsi="Times New Roman" w:eastAsia="宋体"/>
                <w:szCs w:val="21"/>
              </w:rPr>
              <w:t>%</w:t>
            </w:r>
          </w:p>
        </w:tc>
        <w:tc>
          <w:tcPr>
            <w:tcW w:w="1050"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ascii="Times New Roman" w:hAnsi="Times New Roman" w:eastAsia="宋体"/>
                <w:szCs w:val="21"/>
              </w:rPr>
              <w:t>98</w:t>
            </w:r>
          </w:p>
        </w:tc>
        <w:tc>
          <w:tcPr>
            <w:tcW w:w="1007"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91</w:t>
            </w:r>
          </w:p>
        </w:tc>
        <w:tc>
          <w:tcPr>
            <w:tcW w:w="1458"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 w:val="18"/>
                <w:szCs w:val="18"/>
              </w:rPr>
            </w:pPr>
            <w:r>
              <w:rPr>
                <w:rFonts w:hint="eastAsia" w:ascii="Times New Roman" w:hAnsi="Times New Roman" w:eastAsia="宋体"/>
                <w:sz w:val="18"/>
                <w:szCs w:val="18"/>
              </w:rPr>
              <w:t>统计口径调整</w:t>
            </w:r>
          </w:p>
        </w:tc>
        <w:tc>
          <w:tcPr>
            <w:tcW w:w="1059" w:type="dxa"/>
            <w:vAlign w:val="center"/>
          </w:tcPr>
          <w:p>
            <w:pPr>
              <w:keepNext/>
              <w:keepLines w:val="0"/>
              <w:pageBreakBefore w:val="0"/>
              <w:widowControl/>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ascii="Times New Roman" w:hAnsi="Times New Roman" w:eastAsia="宋体"/>
                <w:szCs w:val="21"/>
              </w:rPr>
              <w:t>预期性</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83" w:hRule="atLeast"/>
        </w:trPr>
        <w:tc>
          <w:tcPr>
            <w:tcW w:w="643"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ascii="Times New Roman" w:hAnsi="Times New Roman" w:eastAsia="宋体"/>
                <w:szCs w:val="21"/>
              </w:rPr>
              <w:t>4</w:t>
            </w:r>
          </w:p>
        </w:tc>
        <w:tc>
          <w:tcPr>
            <w:tcW w:w="3536" w:type="dxa"/>
            <w:vAlign w:val="center"/>
          </w:tcPr>
          <w:p>
            <w:pPr>
              <w:keepLines w:val="0"/>
              <w:pageBreakBefore w:val="0"/>
              <w:kinsoku/>
              <w:wordWrap/>
              <w:overflowPunct/>
              <w:topLinePunct w:val="0"/>
              <w:autoSpaceDE/>
              <w:autoSpaceDN/>
              <w:bidi w:val="0"/>
              <w:adjustRightInd w:val="0"/>
              <w:snapToGrid w:val="0"/>
              <w:spacing w:before="120" w:beforeLines="50" w:line="560" w:lineRule="exact"/>
              <w:rPr>
                <w:rFonts w:ascii="Times New Roman" w:hAnsi="Times New Roman" w:eastAsia="宋体"/>
                <w:szCs w:val="21"/>
              </w:rPr>
            </w:pPr>
            <w:r>
              <w:rPr>
                <w:rFonts w:ascii="Times New Roman" w:hAnsi="Times New Roman" w:eastAsia="宋体"/>
                <w:szCs w:val="21"/>
              </w:rPr>
              <w:t>失业保险参保人数</w:t>
            </w:r>
          </w:p>
        </w:tc>
        <w:tc>
          <w:tcPr>
            <w:tcW w:w="826"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ascii="Times New Roman" w:hAnsi="Times New Roman" w:eastAsia="宋体"/>
                <w:sz w:val="20"/>
                <w:szCs w:val="20"/>
              </w:rPr>
              <w:t>万人</w:t>
            </w:r>
          </w:p>
        </w:tc>
        <w:tc>
          <w:tcPr>
            <w:tcW w:w="1050"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3.5</w:t>
            </w:r>
          </w:p>
        </w:tc>
        <w:tc>
          <w:tcPr>
            <w:tcW w:w="1007"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0.75</w:t>
            </w:r>
          </w:p>
        </w:tc>
        <w:tc>
          <w:tcPr>
            <w:tcW w:w="1458"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 w:val="18"/>
                <w:szCs w:val="18"/>
              </w:rPr>
            </w:pPr>
            <w:r>
              <w:rPr>
                <w:rFonts w:hint="eastAsia" w:ascii="Times New Roman" w:hAnsi="Times New Roman" w:eastAsia="宋体"/>
                <w:sz w:val="18"/>
                <w:szCs w:val="18"/>
              </w:rPr>
              <w:t>统计口径调整</w:t>
            </w:r>
          </w:p>
        </w:tc>
        <w:tc>
          <w:tcPr>
            <w:tcW w:w="1059"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ascii="Times New Roman" w:hAnsi="Times New Roman" w:eastAsia="宋体"/>
                <w:szCs w:val="21"/>
              </w:rPr>
              <w:t>约束性</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73" w:hRule="atLeast"/>
        </w:trPr>
        <w:tc>
          <w:tcPr>
            <w:tcW w:w="643"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ascii="Times New Roman" w:hAnsi="Times New Roman" w:eastAsia="宋体"/>
                <w:szCs w:val="21"/>
              </w:rPr>
              <w:t>5</w:t>
            </w:r>
          </w:p>
        </w:tc>
        <w:tc>
          <w:tcPr>
            <w:tcW w:w="3536" w:type="dxa"/>
            <w:vAlign w:val="center"/>
          </w:tcPr>
          <w:p>
            <w:pPr>
              <w:keepLines w:val="0"/>
              <w:pageBreakBefore w:val="0"/>
              <w:kinsoku/>
              <w:wordWrap/>
              <w:overflowPunct/>
              <w:topLinePunct w:val="0"/>
              <w:autoSpaceDE/>
              <w:autoSpaceDN/>
              <w:bidi w:val="0"/>
              <w:adjustRightInd w:val="0"/>
              <w:snapToGrid w:val="0"/>
              <w:spacing w:before="120" w:beforeLines="50" w:line="560" w:lineRule="exact"/>
              <w:rPr>
                <w:rFonts w:ascii="Times New Roman" w:hAnsi="Times New Roman" w:eastAsia="宋体"/>
                <w:szCs w:val="21"/>
              </w:rPr>
            </w:pPr>
            <w:r>
              <w:rPr>
                <w:rFonts w:ascii="Times New Roman" w:hAnsi="Times New Roman" w:eastAsia="宋体"/>
                <w:szCs w:val="21"/>
              </w:rPr>
              <w:t>工伤保险参保人数</w:t>
            </w:r>
          </w:p>
        </w:tc>
        <w:tc>
          <w:tcPr>
            <w:tcW w:w="826"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 w:val="20"/>
                <w:szCs w:val="20"/>
              </w:rPr>
            </w:pPr>
            <w:r>
              <w:rPr>
                <w:rFonts w:ascii="Times New Roman" w:hAnsi="Times New Roman" w:eastAsia="宋体"/>
                <w:sz w:val="20"/>
                <w:szCs w:val="20"/>
              </w:rPr>
              <w:t>万人</w:t>
            </w:r>
          </w:p>
        </w:tc>
        <w:tc>
          <w:tcPr>
            <w:tcW w:w="1050"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4.9</w:t>
            </w:r>
          </w:p>
        </w:tc>
        <w:tc>
          <w:tcPr>
            <w:tcW w:w="1007"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1.26</w:t>
            </w:r>
          </w:p>
        </w:tc>
        <w:tc>
          <w:tcPr>
            <w:tcW w:w="1458"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both"/>
              <w:rPr>
                <w:rFonts w:ascii="Times New Roman" w:hAnsi="Times New Roman" w:eastAsia="宋体"/>
                <w:sz w:val="18"/>
                <w:szCs w:val="18"/>
              </w:rPr>
            </w:pPr>
            <w:r>
              <w:rPr>
                <w:rFonts w:hint="eastAsia" w:ascii="Times New Roman" w:hAnsi="Times New Roman" w:eastAsia="宋体"/>
                <w:sz w:val="18"/>
                <w:szCs w:val="18"/>
              </w:rPr>
              <w:t>统计口径调整</w:t>
            </w:r>
          </w:p>
        </w:tc>
        <w:tc>
          <w:tcPr>
            <w:tcW w:w="1059"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ascii="Times New Roman" w:hAnsi="Times New Roman" w:eastAsia="宋体"/>
                <w:szCs w:val="21"/>
              </w:rPr>
              <w:t>约束性</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9579" w:type="dxa"/>
            <w:gridSpan w:val="7"/>
            <w:vAlign w:val="center"/>
          </w:tcPr>
          <w:p>
            <w:pPr>
              <w:keepLines w:val="0"/>
              <w:pageBreakBefore w:val="0"/>
              <w:kinsoku/>
              <w:wordWrap/>
              <w:overflowPunct/>
              <w:topLinePunct w:val="0"/>
              <w:autoSpaceDE/>
              <w:autoSpaceDN/>
              <w:bidi w:val="0"/>
              <w:adjustRightInd w:val="0"/>
              <w:snapToGrid w:val="0"/>
              <w:spacing w:before="120" w:beforeLines="50" w:line="560" w:lineRule="exact"/>
              <w:jc w:val="left"/>
            </w:pPr>
            <w:r>
              <w:rPr>
                <w:rFonts w:hint="eastAsia" w:ascii="Times New Roman" w:hAnsi="Times New Roman" w:eastAsia="黑体"/>
                <w:szCs w:val="21"/>
              </w:rPr>
              <w:t>三、人才队伍建设</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8" w:hRule="atLeast"/>
        </w:trPr>
        <w:tc>
          <w:tcPr>
            <w:tcW w:w="643"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ascii="Times New Roman" w:hAnsi="Times New Roman" w:eastAsia="宋体"/>
                <w:szCs w:val="21"/>
              </w:rPr>
              <w:t>6</w:t>
            </w:r>
          </w:p>
        </w:tc>
        <w:tc>
          <w:tcPr>
            <w:tcW w:w="3536"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left"/>
              <w:rPr>
                <w:rFonts w:ascii="Times New Roman" w:hAnsi="Times New Roman" w:eastAsia="宋体"/>
                <w:szCs w:val="21"/>
              </w:rPr>
            </w:pPr>
            <w:r>
              <w:rPr>
                <w:rFonts w:ascii="Times New Roman" w:hAnsi="Times New Roman" w:eastAsia="宋体"/>
                <w:szCs w:val="21"/>
              </w:rPr>
              <w:t>专业技术人才总量</w:t>
            </w:r>
          </w:p>
        </w:tc>
        <w:tc>
          <w:tcPr>
            <w:tcW w:w="826"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 w:val="20"/>
                <w:szCs w:val="20"/>
              </w:rPr>
            </w:pPr>
            <w:r>
              <w:rPr>
                <w:rFonts w:ascii="Times New Roman" w:hAnsi="Times New Roman" w:eastAsia="宋体"/>
                <w:sz w:val="20"/>
                <w:szCs w:val="20"/>
              </w:rPr>
              <w:t>万人</w:t>
            </w:r>
          </w:p>
        </w:tc>
        <w:tc>
          <w:tcPr>
            <w:tcW w:w="1050"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0.61</w:t>
            </w:r>
          </w:p>
        </w:tc>
        <w:tc>
          <w:tcPr>
            <w:tcW w:w="1007"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0.47</w:t>
            </w:r>
          </w:p>
        </w:tc>
        <w:tc>
          <w:tcPr>
            <w:tcW w:w="1458"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77%</w:t>
            </w:r>
          </w:p>
        </w:tc>
        <w:tc>
          <w:tcPr>
            <w:tcW w:w="1059"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ascii="Times New Roman" w:hAnsi="Times New Roman" w:eastAsia="宋体"/>
                <w:szCs w:val="21"/>
              </w:rPr>
              <w:t>预期性</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9579" w:type="dxa"/>
            <w:gridSpan w:val="7"/>
            <w:vAlign w:val="center"/>
          </w:tcPr>
          <w:p>
            <w:pPr>
              <w:keepLines w:val="0"/>
              <w:pageBreakBefore w:val="0"/>
              <w:kinsoku/>
              <w:wordWrap/>
              <w:overflowPunct/>
              <w:topLinePunct w:val="0"/>
              <w:autoSpaceDE/>
              <w:autoSpaceDN/>
              <w:bidi w:val="0"/>
              <w:adjustRightInd w:val="0"/>
              <w:snapToGrid w:val="0"/>
              <w:spacing w:before="120" w:beforeLines="50" w:line="560" w:lineRule="exact"/>
              <w:jc w:val="left"/>
              <w:rPr>
                <w:rFonts w:ascii="Times New Roman" w:hAnsi="Times New Roman" w:eastAsia="宋体"/>
                <w:szCs w:val="21"/>
              </w:rPr>
            </w:pPr>
            <w:r>
              <w:rPr>
                <w:rFonts w:hint="eastAsia" w:ascii="Times New Roman" w:hAnsi="Times New Roman" w:eastAsia="黑体"/>
                <w:szCs w:val="21"/>
              </w:rPr>
              <w:t>四、劳动关系</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643"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ascii="Times New Roman" w:hAnsi="Times New Roman" w:eastAsia="宋体"/>
                <w:szCs w:val="21"/>
              </w:rPr>
              <w:t>9</w:t>
            </w:r>
          </w:p>
        </w:tc>
        <w:tc>
          <w:tcPr>
            <w:tcW w:w="3536"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left"/>
              <w:rPr>
                <w:rFonts w:ascii="Times New Roman" w:hAnsi="Times New Roman" w:eastAsia="宋体"/>
                <w:szCs w:val="21"/>
              </w:rPr>
            </w:pPr>
            <w:r>
              <w:rPr>
                <w:rFonts w:ascii="Times New Roman" w:hAnsi="Times New Roman" w:eastAsia="宋体"/>
                <w:szCs w:val="21"/>
              </w:rPr>
              <w:t>企业劳动合同签订率</w:t>
            </w:r>
          </w:p>
        </w:tc>
        <w:tc>
          <w:tcPr>
            <w:tcW w:w="826"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ascii="Times New Roman" w:hAnsi="Times New Roman" w:eastAsia="宋体"/>
                <w:szCs w:val="21"/>
              </w:rPr>
              <w:t>%</w:t>
            </w:r>
          </w:p>
        </w:tc>
        <w:tc>
          <w:tcPr>
            <w:tcW w:w="1050"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lang w:eastAsia="zh-CN"/>
              </w:rPr>
            </w:pPr>
            <w:r>
              <w:rPr>
                <w:rFonts w:ascii="Times New Roman" w:hAnsi="Times New Roman" w:eastAsia="宋体"/>
                <w:szCs w:val="21"/>
              </w:rPr>
              <w:t>9</w:t>
            </w:r>
            <w:r>
              <w:rPr>
                <w:rFonts w:hint="eastAsia" w:ascii="Times New Roman" w:hAnsi="Times New Roman" w:eastAsia="宋体"/>
                <w:szCs w:val="21"/>
                <w:lang w:val="en-US" w:eastAsia="zh-CN"/>
              </w:rPr>
              <w:t>5</w:t>
            </w:r>
          </w:p>
        </w:tc>
        <w:tc>
          <w:tcPr>
            <w:tcW w:w="1007"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lang w:eastAsia="zh-CN"/>
              </w:rPr>
            </w:pPr>
            <w:r>
              <w:rPr>
                <w:rFonts w:hint="eastAsia" w:ascii="Times New Roman" w:hAnsi="Times New Roman" w:eastAsia="宋体"/>
                <w:szCs w:val="21"/>
              </w:rPr>
              <w:t>98.</w:t>
            </w:r>
            <w:r>
              <w:rPr>
                <w:rFonts w:hint="eastAsia" w:ascii="Times New Roman" w:hAnsi="Times New Roman" w:eastAsia="宋体"/>
                <w:szCs w:val="21"/>
                <w:lang w:val="en-US" w:eastAsia="zh-CN"/>
              </w:rPr>
              <w:t>0</w:t>
            </w:r>
          </w:p>
        </w:tc>
        <w:tc>
          <w:tcPr>
            <w:tcW w:w="1458"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103%</w:t>
            </w:r>
          </w:p>
        </w:tc>
        <w:tc>
          <w:tcPr>
            <w:tcW w:w="1059"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ascii="Times New Roman" w:hAnsi="Times New Roman" w:eastAsia="宋体"/>
                <w:szCs w:val="21"/>
              </w:rPr>
              <w:t>预期性</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643"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ascii="Times New Roman" w:hAnsi="Times New Roman" w:eastAsia="宋体"/>
                <w:szCs w:val="21"/>
              </w:rPr>
              <w:t>10</w:t>
            </w:r>
          </w:p>
        </w:tc>
        <w:tc>
          <w:tcPr>
            <w:tcW w:w="3536"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left"/>
              <w:rPr>
                <w:rFonts w:ascii="Times New Roman" w:hAnsi="Times New Roman" w:eastAsia="宋体"/>
                <w:szCs w:val="21"/>
              </w:rPr>
            </w:pPr>
            <w:r>
              <w:rPr>
                <w:rFonts w:ascii="Times New Roman" w:hAnsi="Times New Roman" w:eastAsia="宋体"/>
                <w:szCs w:val="21"/>
              </w:rPr>
              <w:t>劳动人事争议调解成功率</w:t>
            </w:r>
          </w:p>
        </w:tc>
        <w:tc>
          <w:tcPr>
            <w:tcW w:w="826"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ascii="Times New Roman" w:hAnsi="Times New Roman" w:eastAsia="宋体"/>
                <w:szCs w:val="21"/>
              </w:rPr>
              <w:t>%</w:t>
            </w:r>
          </w:p>
        </w:tc>
        <w:tc>
          <w:tcPr>
            <w:tcW w:w="1050"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ascii="Times New Roman" w:hAnsi="Times New Roman" w:eastAsia="宋体"/>
                <w:szCs w:val="21"/>
              </w:rPr>
              <w:t>&gt;60</w:t>
            </w:r>
          </w:p>
        </w:tc>
        <w:tc>
          <w:tcPr>
            <w:tcW w:w="1007"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75.98</w:t>
            </w:r>
          </w:p>
        </w:tc>
        <w:tc>
          <w:tcPr>
            <w:tcW w:w="1458"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126%</w:t>
            </w:r>
          </w:p>
        </w:tc>
        <w:tc>
          <w:tcPr>
            <w:tcW w:w="1059"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ascii="Times New Roman" w:hAnsi="Times New Roman" w:eastAsia="宋体"/>
                <w:szCs w:val="21"/>
              </w:rPr>
              <w:t>预期性</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25" w:hRule="atLeast"/>
        </w:trPr>
        <w:tc>
          <w:tcPr>
            <w:tcW w:w="643"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ascii="Times New Roman" w:hAnsi="Times New Roman" w:eastAsia="宋体"/>
                <w:szCs w:val="21"/>
              </w:rPr>
              <w:t>11</w:t>
            </w:r>
          </w:p>
        </w:tc>
        <w:tc>
          <w:tcPr>
            <w:tcW w:w="3536"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left"/>
              <w:rPr>
                <w:rFonts w:ascii="Times New Roman" w:hAnsi="Times New Roman" w:eastAsia="宋体"/>
                <w:szCs w:val="21"/>
              </w:rPr>
            </w:pPr>
            <w:r>
              <w:rPr>
                <w:rFonts w:ascii="Times New Roman" w:hAnsi="Times New Roman" w:eastAsia="宋体"/>
                <w:szCs w:val="21"/>
              </w:rPr>
              <w:t>劳动人事争议仲裁结案率</w:t>
            </w:r>
          </w:p>
        </w:tc>
        <w:tc>
          <w:tcPr>
            <w:tcW w:w="826"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ascii="Times New Roman" w:hAnsi="Times New Roman" w:eastAsia="宋体"/>
                <w:szCs w:val="21"/>
              </w:rPr>
              <w:t>%</w:t>
            </w:r>
          </w:p>
        </w:tc>
        <w:tc>
          <w:tcPr>
            <w:tcW w:w="1050"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100</w:t>
            </w:r>
          </w:p>
        </w:tc>
        <w:tc>
          <w:tcPr>
            <w:tcW w:w="1007"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hint="eastAsia" w:ascii="Times New Roman" w:hAnsi="Times New Roman" w:eastAsia="宋体"/>
                <w:szCs w:val="21"/>
              </w:rPr>
              <w:t>100</w:t>
            </w:r>
          </w:p>
        </w:tc>
        <w:tc>
          <w:tcPr>
            <w:tcW w:w="1458"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lang w:val="en-US" w:eastAsia="zh-CN"/>
              </w:rPr>
            </w:pPr>
            <w:r>
              <w:rPr>
                <w:rFonts w:hint="eastAsia" w:ascii="Times New Roman" w:hAnsi="Times New Roman" w:eastAsia="宋体"/>
                <w:szCs w:val="21"/>
              </w:rPr>
              <w:t>100</w:t>
            </w:r>
            <w:r>
              <w:rPr>
                <w:rFonts w:hint="eastAsia" w:ascii="Times New Roman" w:hAnsi="Times New Roman" w:eastAsia="宋体"/>
                <w:szCs w:val="21"/>
                <w:lang w:val="en-US" w:eastAsia="zh-CN"/>
              </w:rPr>
              <w:t>%</w:t>
            </w:r>
          </w:p>
        </w:tc>
        <w:tc>
          <w:tcPr>
            <w:tcW w:w="1059"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ascii="Times New Roman" w:hAnsi="Times New Roman" w:eastAsia="宋体"/>
                <w:szCs w:val="21"/>
              </w:rPr>
              <w:t>预期性</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01" w:hRule="atLeast"/>
        </w:trPr>
        <w:tc>
          <w:tcPr>
            <w:tcW w:w="643"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ascii="Times New Roman" w:hAnsi="Times New Roman" w:eastAsia="宋体"/>
                <w:szCs w:val="21"/>
              </w:rPr>
              <w:t>12</w:t>
            </w:r>
          </w:p>
        </w:tc>
        <w:tc>
          <w:tcPr>
            <w:tcW w:w="3536"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left"/>
              <w:rPr>
                <w:rFonts w:ascii="Times New Roman" w:hAnsi="Times New Roman" w:eastAsia="宋体"/>
                <w:szCs w:val="21"/>
              </w:rPr>
            </w:pPr>
            <w:r>
              <w:rPr>
                <w:rFonts w:ascii="Times New Roman" w:hAnsi="Times New Roman" w:eastAsia="宋体"/>
                <w:szCs w:val="21"/>
              </w:rPr>
              <w:t>劳动保障监察举报投诉案件结案率</w:t>
            </w:r>
          </w:p>
        </w:tc>
        <w:tc>
          <w:tcPr>
            <w:tcW w:w="826"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ascii="Times New Roman" w:hAnsi="Times New Roman" w:eastAsia="宋体"/>
                <w:szCs w:val="21"/>
              </w:rPr>
              <w:t>%</w:t>
            </w:r>
          </w:p>
        </w:tc>
        <w:tc>
          <w:tcPr>
            <w:tcW w:w="1050"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100</w:t>
            </w:r>
          </w:p>
        </w:tc>
        <w:tc>
          <w:tcPr>
            <w:tcW w:w="1007"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hint="eastAsia" w:ascii="Times New Roman" w:hAnsi="Times New Roman" w:eastAsia="宋体"/>
                <w:szCs w:val="21"/>
              </w:rPr>
              <w:t>100</w:t>
            </w:r>
          </w:p>
        </w:tc>
        <w:tc>
          <w:tcPr>
            <w:tcW w:w="1458"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lang w:val="en-US" w:eastAsia="zh-CN"/>
              </w:rPr>
            </w:pPr>
            <w:r>
              <w:rPr>
                <w:rFonts w:hint="eastAsia" w:ascii="Times New Roman" w:hAnsi="Times New Roman" w:eastAsia="宋体"/>
                <w:szCs w:val="21"/>
              </w:rPr>
              <w:t>100</w:t>
            </w:r>
            <w:r>
              <w:rPr>
                <w:rFonts w:hint="eastAsia" w:ascii="Times New Roman" w:hAnsi="Times New Roman" w:eastAsia="宋体"/>
                <w:szCs w:val="21"/>
                <w:lang w:val="en-US" w:eastAsia="zh-CN"/>
              </w:rPr>
              <w:t>%</w:t>
            </w:r>
          </w:p>
        </w:tc>
        <w:tc>
          <w:tcPr>
            <w:tcW w:w="1059"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ascii="Times New Roman" w:hAnsi="Times New Roman" w:eastAsia="宋体"/>
                <w:szCs w:val="21"/>
              </w:rPr>
              <w:t>约束性</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9579" w:type="dxa"/>
            <w:gridSpan w:val="7"/>
            <w:vAlign w:val="center"/>
          </w:tcPr>
          <w:p>
            <w:pPr>
              <w:keepLines w:val="0"/>
              <w:pageBreakBefore w:val="0"/>
              <w:kinsoku/>
              <w:wordWrap/>
              <w:overflowPunct/>
              <w:topLinePunct w:val="0"/>
              <w:autoSpaceDE/>
              <w:autoSpaceDN/>
              <w:bidi w:val="0"/>
              <w:adjustRightInd w:val="0"/>
              <w:snapToGrid w:val="0"/>
              <w:spacing w:before="120" w:beforeLines="50" w:line="560" w:lineRule="exact"/>
              <w:jc w:val="left"/>
              <w:rPr>
                <w:rFonts w:ascii="Times New Roman" w:hAnsi="Times New Roman" w:eastAsia="黑体"/>
                <w:szCs w:val="21"/>
              </w:rPr>
            </w:pPr>
            <w:r>
              <w:rPr>
                <w:rFonts w:ascii="Times New Roman" w:hAnsi="Times New Roman" w:eastAsia="黑体"/>
                <w:szCs w:val="21"/>
              </w:rPr>
              <w:t>五、公共服务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643"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ascii="Times New Roman" w:hAnsi="Times New Roman" w:eastAsia="宋体"/>
                <w:szCs w:val="21"/>
              </w:rPr>
              <w:t>13</w:t>
            </w:r>
          </w:p>
        </w:tc>
        <w:tc>
          <w:tcPr>
            <w:tcW w:w="3536"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left"/>
              <w:rPr>
                <w:rFonts w:ascii="Times New Roman" w:hAnsi="Times New Roman" w:eastAsia="宋体"/>
                <w:szCs w:val="21"/>
              </w:rPr>
            </w:pPr>
            <w:r>
              <w:rPr>
                <w:rFonts w:ascii="Times New Roman" w:hAnsi="Times New Roman" w:eastAsia="宋体"/>
                <w:szCs w:val="21"/>
              </w:rPr>
              <w:t>社会保障卡持卡人口覆盖率</w:t>
            </w:r>
          </w:p>
        </w:tc>
        <w:tc>
          <w:tcPr>
            <w:tcW w:w="826"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ascii="Times New Roman" w:hAnsi="Times New Roman" w:eastAsia="宋体"/>
                <w:szCs w:val="21"/>
              </w:rPr>
              <w:t>%</w:t>
            </w:r>
          </w:p>
        </w:tc>
        <w:tc>
          <w:tcPr>
            <w:tcW w:w="1050"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100</w:t>
            </w:r>
          </w:p>
        </w:tc>
        <w:tc>
          <w:tcPr>
            <w:tcW w:w="1007"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hint="eastAsia" w:ascii="Times New Roman" w:hAnsi="Times New Roman" w:eastAsia="宋体"/>
                <w:szCs w:val="21"/>
              </w:rPr>
              <w:t>100</w:t>
            </w:r>
          </w:p>
        </w:tc>
        <w:tc>
          <w:tcPr>
            <w:tcW w:w="1458"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lang w:val="en-US" w:eastAsia="zh-CN"/>
              </w:rPr>
            </w:pPr>
            <w:r>
              <w:rPr>
                <w:rFonts w:hint="eastAsia" w:ascii="Times New Roman" w:hAnsi="Times New Roman" w:eastAsia="宋体"/>
                <w:szCs w:val="21"/>
              </w:rPr>
              <w:t>100</w:t>
            </w:r>
            <w:r>
              <w:rPr>
                <w:rFonts w:hint="eastAsia" w:ascii="Times New Roman" w:hAnsi="Times New Roman" w:eastAsia="宋体"/>
                <w:szCs w:val="21"/>
                <w:lang w:val="en-US" w:eastAsia="zh-CN"/>
              </w:rPr>
              <w:t>%</w:t>
            </w:r>
          </w:p>
        </w:tc>
        <w:tc>
          <w:tcPr>
            <w:tcW w:w="1059" w:type="dxa"/>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ascii="Times New Roman" w:hAnsi="Times New Roman" w:eastAsia="宋体"/>
                <w:szCs w:val="21"/>
              </w:rPr>
            </w:pPr>
            <w:r>
              <w:rPr>
                <w:rFonts w:ascii="Times New Roman" w:hAnsi="Times New Roman" w:eastAsia="宋体"/>
                <w:szCs w:val="21"/>
              </w:rPr>
              <w:t>预期性</w:t>
            </w:r>
          </w:p>
        </w:tc>
      </w:tr>
    </w:tbl>
    <w:p>
      <w:pPr>
        <w:keepLines w:val="0"/>
        <w:pageBreakBefore w:val="0"/>
        <w:kinsoku/>
        <w:wordWrap/>
        <w:overflowPunct/>
        <w:topLinePunct w:val="0"/>
        <w:autoSpaceDE/>
        <w:autoSpaceDN/>
        <w:bidi w:val="0"/>
        <w:spacing w:line="560" w:lineRule="exact"/>
        <w:rPr>
          <w:rFonts w:ascii="Times New Roman" w:hAnsi="Times New Roman" w:eastAsia="楷体"/>
          <w:szCs w:val="21"/>
        </w:rPr>
      </w:pPr>
      <w:r>
        <w:rPr>
          <w:rFonts w:ascii="Times New Roman" w:hAnsi="Times New Roman" w:eastAsia="楷体"/>
          <w:szCs w:val="21"/>
        </w:rPr>
        <w:t>注：[  ]为累计数。</w:t>
      </w:r>
    </w:p>
    <w:p>
      <w:pPr>
        <w:pStyle w:val="4"/>
        <w:keepNext w:val="0"/>
        <w:keepLines w:val="0"/>
        <w:pageBreakBefore w:val="0"/>
        <w:kinsoku/>
        <w:wordWrap/>
        <w:overflowPunct/>
        <w:topLinePunct w:val="0"/>
        <w:autoSpaceDE/>
        <w:autoSpaceDN/>
        <w:bidi w:val="0"/>
        <w:adjustRightInd w:val="0"/>
        <w:snapToGrid w:val="0"/>
        <w:spacing w:before="120" w:beforeLines="50" w:after="120" w:afterLines="50" w:line="560" w:lineRule="exact"/>
        <w:ind w:left="200"/>
        <w:jc w:val="center"/>
        <w:rPr>
          <w:rFonts w:ascii="Cambria" w:hAnsi="Cambria" w:eastAsia="楷体_GB2312"/>
          <w:color w:val="000000"/>
          <w:sz w:val="34"/>
        </w:rPr>
      </w:pPr>
      <w:bookmarkStart w:id="5" w:name="_Toc25179"/>
      <w:bookmarkStart w:id="6" w:name="_Toc13382"/>
      <w:r>
        <w:rPr>
          <w:rFonts w:hint="eastAsia" w:ascii="Cambria" w:hAnsi="Cambria" w:eastAsia="楷体_GB2312"/>
          <w:color w:val="000000"/>
          <w:sz w:val="34"/>
        </w:rPr>
        <w:t>第二节  机遇挑战</w:t>
      </w:r>
      <w:bookmarkEnd w:id="5"/>
      <w:bookmarkEnd w:id="6"/>
    </w:p>
    <w:p>
      <w:pPr>
        <w:keepLines w:val="0"/>
        <w:pageBreakBefore w:val="0"/>
        <w:kinsoku/>
        <w:wordWrap/>
        <w:overflowPunct/>
        <w:topLinePunct w:val="0"/>
        <w:autoSpaceDE/>
        <w:autoSpaceDN/>
        <w:bidi w:val="0"/>
        <w:adjustRightInd w:val="0"/>
        <w:snapToGrid w:val="0"/>
        <w:spacing w:line="560" w:lineRule="exact"/>
        <w:ind w:firstLine="640" w:firstLineChars="200"/>
        <w:rPr>
          <w:rStyle w:val="17"/>
          <w:rFonts w:hint="eastAsia" w:ascii="仿宋_GB2312" w:hAnsi="仿宋" w:eastAsia="仿宋_GB2312" w:cs="仿宋"/>
          <w:bCs/>
          <w:sz w:val="32"/>
          <w:szCs w:val="32"/>
        </w:rPr>
      </w:pPr>
      <w:r>
        <w:rPr>
          <w:rStyle w:val="17"/>
          <w:rFonts w:hint="eastAsia" w:ascii="仿宋_GB2312" w:hAnsi="仿宋" w:eastAsia="仿宋_GB2312" w:cs="仿宋"/>
          <w:bCs/>
          <w:sz w:val="32"/>
          <w:szCs w:val="32"/>
        </w:rPr>
        <w:t>“十四五”时期，是我国在全面建成小康社会基础上，乘势而上全面开启建设社会主义现代化国家新征程的第一个五年。既面临世界百年未有之大变局的新机遇、新挑战，又面临着新时期主要矛盾变化的新任务、新要求。</w:t>
      </w:r>
      <w:r>
        <w:rPr>
          <w:rStyle w:val="17"/>
          <w:rFonts w:hint="eastAsia" w:ascii="仿宋_GB2312" w:hAnsi="仿宋" w:eastAsia="仿宋_GB2312" w:cs="仿宋"/>
          <w:bCs/>
          <w:sz w:val="32"/>
          <w:szCs w:val="32"/>
          <w:lang w:eastAsia="zh-CN"/>
        </w:rPr>
        <w:t>城区</w:t>
      </w:r>
      <w:r>
        <w:rPr>
          <w:rStyle w:val="17"/>
          <w:rFonts w:hint="eastAsia" w:ascii="仿宋_GB2312" w:hAnsi="仿宋" w:eastAsia="仿宋_GB2312" w:cs="仿宋"/>
          <w:bCs/>
          <w:sz w:val="32"/>
          <w:szCs w:val="32"/>
        </w:rPr>
        <w:t>要抓住机遇，化危为机，进一步提升发展的主动权，推动人力资源社会保障事业再上新台阶，为第二个百年奋斗目标的实现奠定更加扎实的基础。</w:t>
      </w:r>
    </w:p>
    <w:p>
      <w:pPr>
        <w:keepLines w:val="0"/>
        <w:pageBreakBefore w:val="0"/>
        <w:kinsoku/>
        <w:wordWrap/>
        <w:overflowPunct/>
        <w:topLinePunct w:val="0"/>
        <w:autoSpaceDE/>
        <w:autoSpaceDN/>
        <w:bidi w:val="0"/>
        <w:adjustRightInd w:val="0"/>
        <w:snapToGrid w:val="0"/>
        <w:spacing w:line="560" w:lineRule="exact"/>
        <w:ind w:firstLine="643" w:firstLineChars="200"/>
        <w:rPr>
          <w:rStyle w:val="17"/>
          <w:rFonts w:hint="eastAsia" w:ascii="仿宋_GB2312" w:hAnsi="仿宋" w:eastAsia="仿宋_GB2312" w:cs="仿宋"/>
          <w:b/>
          <w:bCs/>
          <w:sz w:val="32"/>
          <w:szCs w:val="32"/>
        </w:rPr>
      </w:pPr>
      <w:r>
        <w:rPr>
          <w:rStyle w:val="17"/>
          <w:rFonts w:hint="eastAsia" w:ascii="仿宋_GB2312" w:hAnsi="仿宋" w:eastAsia="仿宋_GB2312" w:cs="仿宋"/>
          <w:b/>
          <w:bCs/>
          <w:sz w:val="32"/>
          <w:szCs w:val="32"/>
        </w:rPr>
        <w:t>一、重要机遇</w:t>
      </w:r>
    </w:p>
    <w:p>
      <w:pPr>
        <w:keepLines w:val="0"/>
        <w:pageBreakBefore w:val="0"/>
        <w:kinsoku/>
        <w:wordWrap/>
        <w:overflowPunct/>
        <w:topLinePunct w:val="0"/>
        <w:autoSpaceDE/>
        <w:autoSpaceDN/>
        <w:bidi w:val="0"/>
        <w:adjustRightInd w:val="0"/>
        <w:snapToGrid w:val="0"/>
        <w:spacing w:line="560" w:lineRule="exact"/>
        <w:ind w:firstLine="643" w:firstLineChars="200"/>
        <w:rPr>
          <w:rStyle w:val="17"/>
          <w:rFonts w:ascii="仿宋_GB2312" w:hAnsi="仿宋" w:eastAsia="仿宋_GB2312" w:cs="仿宋"/>
          <w:bCs/>
          <w:color w:val="auto"/>
          <w:sz w:val="32"/>
          <w:szCs w:val="32"/>
        </w:rPr>
      </w:pPr>
      <w:r>
        <w:rPr>
          <w:rStyle w:val="17"/>
          <w:rFonts w:hint="eastAsia" w:ascii="仿宋_GB2312" w:hAnsi="仿宋" w:eastAsia="仿宋_GB2312" w:cs="仿宋"/>
          <w:b/>
          <w:bCs/>
          <w:sz w:val="32"/>
          <w:szCs w:val="32"/>
        </w:rPr>
        <w:t>——党中央、省委</w:t>
      </w:r>
      <w:r>
        <w:rPr>
          <w:rStyle w:val="17"/>
          <w:rFonts w:hint="eastAsia" w:ascii="仿宋_GB2312" w:hAnsi="仿宋" w:eastAsia="仿宋_GB2312" w:cs="仿宋"/>
          <w:b/>
          <w:bCs/>
          <w:sz w:val="32"/>
          <w:szCs w:val="32"/>
          <w:lang w:eastAsia="zh-CN"/>
        </w:rPr>
        <w:t>、</w:t>
      </w:r>
      <w:r>
        <w:rPr>
          <w:rStyle w:val="17"/>
          <w:rFonts w:hint="eastAsia" w:ascii="仿宋_GB2312" w:hAnsi="仿宋" w:eastAsia="仿宋_GB2312" w:cs="仿宋"/>
          <w:b/>
          <w:bCs/>
          <w:sz w:val="32"/>
          <w:szCs w:val="32"/>
        </w:rPr>
        <w:t>市委和</w:t>
      </w:r>
      <w:r>
        <w:rPr>
          <w:rStyle w:val="17"/>
          <w:rFonts w:hint="eastAsia" w:ascii="仿宋_GB2312" w:hAnsi="仿宋" w:eastAsia="仿宋_GB2312" w:cs="仿宋"/>
          <w:b/>
          <w:bCs/>
          <w:sz w:val="32"/>
          <w:szCs w:val="32"/>
          <w:lang w:eastAsia="zh-CN"/>
        </w:rPr>
        <w:t>区委</w:t>
      </w:r>
      <w:r>
        <w:rPr>
          <w:rStyle w:val="17"/>
          <w:rFonts w:hint="eastAsia" w:ascii="仿宋_GB2312" w:hAnsi="仿宋" w:eastAsia="仿宋_GB2312" w:cs="仿宋"/>
          <w:b/>
          <w:bCs/>
          <w:sz w:val="32"/>
          <w:szCs w:val="32"/>
        </w:rPr>
        <w:t>的坚强领导，为</w:t>
      </w:r>
      <w:r>
        <w:rPr>
          <w:rStyle w:val="17"/>
          <w:rFonts w:hint="eastAsia" w:ascii="仿宋_GB2312" w:hAnsi="仿宋" w:eastAsia="仿宋_GB2312" w:cs="仿宋"/>
          <w:b/>
          <w:bCs/>
          <w:sz w:val="32"/>
          <w:szCs w:val="32"/>
          <w:lang w:val="en-US" w:eastAsia="zh-CN"/>
        </w:rPr>
        <w:t>人社</w:t>
      </w:r>
      <w:r>
        <w:rPr>
          <w:rStyle w:val="17"/>
          <w:rFonts w:hint="eastAsia" w:ascii="仿宋_GB2312" w:hAnsi="仿宋" w:eastAsia="仿宋_GB2312" w:cs="仿宋"/>
          <w:b/>
          <w:bCs/>
          <w:sz w:val="32"/>
          <w:szCs w:val="32"/>
        </w:rPr>
        <w:t>事业发展提供强大</w:t>
      </w:r>
      <w:r>
        <w:rPr>
          <w:rStyle w:val="17"/>
          <w:rFonts w:hint="eastAsia" w:ascii="仿宋_GB2312" w:hAnsi="仿宋" w:eastAsia="仿宋_GB2312" w:cs="仿宋"/>
          <w:b/>
          <w:bCs/>
          <w:sz w:val="32"/>
          <w:szCs w:val="32"/>
          <w:lang w:eastAsia="zh-CN"/>
        </w:rPr>
        <w:t>保障</w:t>
      </w:r>
      <w:r>
        <w:rPr>
          <w:rStyle w:val="17"/>
          <w:rFonts w:hint="eastAsia" w:ascii="仿宋_GB2312" w:hAnsi="仿宋" w:eastAsia="仿宋_GB2312" w:cs="仿宋"/>
          <w:b/>
          <w:bCs/>
          <w:sz w:val="32"/>
          <w:szCs w:val="32"/>
        </w:rPr>
        <w:t>。</w:t>
      </w:r>
      <w:r>
        <w:rPr>
          <w:rStyle w:val="17"/>
          <w:rFonts w:hint="eastAsia" w:ascii="仿宋_GB2312" w:hAnsi="仿宋" w:eastAsia="仿宋_GB2312" w:cs="仿宋"/>
          <w:bCs/>
          <w:sz w:val="32"/>
          <w:szCs w:val="32"/>
        </w:rPr>
        <w:t>中央高度重视人力资源社会保障事业发展，</w:t>
      </w:r>
      <w:r>
        <w:rPr>
          <w:rStyle w:val="17"/>
          <w:rFonts w:hint="eastAsia" w:ascii="仿宋_GB2312" w:hAnsi="仿宋" w:eastAsia="仿宋_GB2312" w:cs="仿宋"/>
          <w:bCs/>
          <w:color w:val="auto"/>
          <w:sz w:val="32"/>
          <w:szCs w:val="32"/>
          <w:highlight w:val="none"/>
        </w:rPr>
        <w:t>党的十九大</w:t>
      </w:r>
      <w:r>
        <w:rPr>
          <w:rStyle w:val="17"/>
          <w:rFonts w:hint="eastAsia" w:ascii="仿宋_GB2312" w:hAnsi="仿宋" w:eastAsia="仿宋_GB2312" w:cs="仿宋"/>
          <w:bCs/>
          <w:color w:val="auto"/>
          <w:sz w:val="32"/>
          <w:szCs w:val="32"/>
          <w:highlight w:val="none"/>
          <w:lang w:val="en-US" w:eastAsia="zh-CN"/>
        </w:rPr>
        <w:t>和</w:t>
      </w:r>
      <w:r>
        <w:rPr>
          <w:rStyle w:val="17"/>
          <w:rFonts w:hint="eastAsia" w:ascii="仿宋_GB2312" w:hAnsi="仿宋" w:eastAsia="仿宋_GB2312" w:cs="仿宋"/>
          <w:bCs/>
          <w:color w:val="auto"/>
          <w:sz w:val="32"/>
          <w:szCs w:val="32"/>
          <w:highlight w:val="none"/>
        </w:rPr>
        <w:t>十九届</w:t>
      </w:r>
      <w:r>
        <w:rPr>
          <w:rStyle w:val="17"/>
          <w:rFonts w:hint="eastAsia" w:ascii="仿宋_GB2312" w:hAnsi="仿宋" w:eastAsia="仿宋_GB2312" w:cs="仿宋"/>
          <w:bCs/>
          <w:color w:val="auto"/>
          <w:sz w:val="32"/>
          <w:szCs w:val="32"/>
          <w:highlight w:val="none"/>
          <w:lang w:val="en-US" w:eastAsia="zh-CN"/>
        </w:rPr>
        <w:t>历次</w:t>
      </w:r>
      <w:r>
        <w:rPr>
          <w:rStyle w:val="17"/>
          <w:rFonts w:hint="eastAsia" w:ascii="仿宋_GB2312" w:hAnsi="仿宋" w:eastAsia="仿宋_GB2312" w:cs="仿宋"/>
          <w:bCs/>
          <w:color w:val="auto"/>
          <w:sz w:val="32"/>
          <w:szCs w:val="32"/>
          <w:highlight w:val="none"/>
        </w:rPr>
        <w:t>全会强调坚持在发展中保障和改善民生</w:t>
      </w:r>
      <w:r>
        <w:rPr>
          <w:rStyle w:val="17"/>
          <w:rFonts w:hint="eastAsia" w:ascii="仿宋_GB2312" w:hAnsi="仿宋" w:eastAsia="仿宋_GB2312" w:cs="仿宋"/>
          <w:bCs/>
          <w:color w:val="auto"/>
          <w:sz w:val="32"/>
          <w:szCs w:val="32"/>
          <w:highlight w:val="none"/>
          <w:lang w:eastAsia="zh-CN"/>
        </w:rPr>
        <w:t>，</w:t>
      </w:r>
      <w:r>
        <w:rPr>
          <w:rFonts w:hint="eastAsia" w:ascii="仿宋_GB2312" w:eastAsia="仿宋_GB2312"/>
          <w:color w:val="auto"/>
          <w:sz w:val="32"/>
          <w:szCs w:val="32"/>
          <w:highlight w:val="none"/>
        </w:rPr>
        <w:t>强化就业优先政策、健全多层次社会保障体系</w:t>
      </w:r>
      <w:r>
        <w:rPr>
          <w:rStyle w:val="17"/>
          <w:rFonts w:hint="eastAsia" w:ascii="仿宋_GB2312" w:hAnsi="仿宋" w:eastAsia="仿宋_GB2312" w:cs="仿宋"/>
          <w:bCs/>
          <w:color w:val="auto"/>
          <w:sz w:val="32"/>
          <w:szCs w:val="32"/>
          <w:highlight w:val="none"/>
        </w:rPr>
        <w:t>等重点任务。</w:t>
      </w:r>
      <w:r>
        <w:rPr>
          <w:rStyle w:val="17"/>
          <w:rFonts w:hint="eastAsia" w:ascii="仿宋_GB2312" w:hAnsi="仿宋" w:eastAsia="仿宋_GB2312" w:cs="仿宋"/>
          <w:bCs/>
          <w:sz w:val="32"/>
          <w:szCs w:val="32"/>
        </w:rPr>
        <w:t>省委省政府积极推动“双区”驱动、“双城”联动、“一核一带一区”等区域发展格局，为我</w:t>
      </w:r>
      <w:r>
        <w:rPr>
          <w:rStyle w:val="17"/>
          <w:rFonts w:hint="eastAsia" w:ascii="仿宋_GB2312" w:hAnsi="仿宋" w:eastAsia="仿宋_GB2312" w:cs="仿宋"/>
          <w:bCs/>
          <w:sz w:val="32"/>
          <w:szCs w:val="32"/>
          <w:lang w:eastAsia="zh-CN"/>
        </w:rPr>
        <w:t>区</w:t>
      </w:r>
      <w:r>
        <w:rPr>
          <w:rStyle w:val="17"/>
          <w:rFonts w:hint="eastAsia" w:ascii="仿宋_GB2312" w:hAnsi="仿宋" w:eastAsia="仿宋_GB2312" w:cs="仿宋"/>
          <w:bCs/>
          <w:sz w:val="32"/>
          <w:szCs w:val="32"/>
        </w:rPr>
        <w:t>人力资源社会保障领域政策创新、资源整合、服务优化拓展了新空间。</w:t>
      </w:r>
      <w:r>
        <w:rPr>
          <w:rStyle w:val="17"/>
          <w:rFonts w:hint="eastAsia" w:ascii="仿宋_GB2312" w:hAnsi="仿宋" w:eastAsia="仿宋_GB2312" w:cs="仿宋"/>
          <w:bCs/>
          <w:sz w:val="32"/>
          <w:szCs w:val="32"/>
          <w:lang w:eastAsia="zh-CN"/>
        </w:rPr>
        <w:t>区</w:t>
      </w:r>
      <w:r>
        <w:rPr>
          <w:rStyle w:val="17"/>
          <w:rFonts w:hint="eastAsia" w:ascii="仿宋_GB2312" w:hAnsi="仿宋" w:eastAsia="仿宋_GB2312" w:cs="仿宋"/>
          <w:bCs/>
          <w:sz w:val="32"/>
          <w:szCs w:val="32"/>
        </w:rPr>
        <w:t>委</w:t>
      </w:r>
      <w:r>
        <w:rPr>
          <w:rStyle w:val="17"/>
          <w:rFonts w:hint="eastAsia" w:ascii="仿宋_GB2312" w:hAnsi="仿宋" w:eastAsia="仿宋_GB2312" w:cs="仿宋"/>
          <w:bCs/>
          <w:sz w:val="32"/>
          <w:szCs w:val="32"/>
          <w:lang w:eastAsia="zh-CN"/>
        </w:rPr>
        <w:t>区</w:t>
      </w:r>
      <w:r>
        <w:rPr>
          <w:rStyle w:val="17"/>
          <w:rFonts w:hint="eastAsia" w:ascii="仿宋_GB2312" w:hAnsi="仿宋" w:eastAsia="仿宋_GB2312" w:cs="仿宋"/>
          <w:bCs/>
          <w:sz w:val="32"/>
          <w:szCs w:val="32"/>
        </w:rPr>
        <w:t>政府为加快改变汕尾</w:t>
      </w:r>
      <w:r>
        <w:rPr>
          <w:rStyle w:val="17"/>
          <w:rFonts w:hint="eastAsia" w:ascii="仿宋_GB2312" w:hAnsi="仿宋" w:eastAsia="仿宋_GB2312" w:cs="仿宋"/>
          <w:bCs/>
          <w:sz w:val="32"/>
          <w:szCs w:val="32"/>
          <w:lang w:eastAsia="zh-CN"/>
        </w:rPr>
        <w:t>城区</w:t>
      </w:r>
      <w:r>
        <w:rPr>
          <w:rStyle w:val="17"/>
          <w:rFonts w:hint="eastAsia" w:ascii="仿宋_GB2312" w:hAnsi="仿宋" w:eastAsia="仿宋_GB2312" w:cs="仿宋"/>
          <w:bCs/>
          <w:sz w:val="32"/>
          <w:szCs w:val="32"/>
        </w:rPr>
        <w:t>发展落后现状，进一步强化责任担当，奋战“抓基础利长远、抓项目强实力、抓改革优环境”三大行动，为推动</w:t>
      </w:r>
      <w:r>
        <w:rPr>
          <w:rStyle w:val="17"/>
          <w:rFonts w:hint="eastAsia" w:ascii="仿宋_GB2312" w:hAnsi="仿宋" w:eastAsia="仿宋_GB2312" w:cs="仿宋"/>
          <w:bCs/>
          <w:sz w:val="32"/>
          <w:szCs w:val="32"/>
          <w:lang w:eastAsia="zh-CN"/>
        </w:rPr>
        <w:t>城区</w:t>
      </w:r>
      <w:r>
        <w:rPr>
          <w:rStyle w:val="17"/>
          <w:rFonts w:hint="eastAsia" w:ascii="仿宋_GB2312" w:hAnsi="仿宋" w:eastAsia="仿宋_GB2312" w:cs="仿宋"/>
          <w:bCs/>
          <w:sz w:val="32"/>
          <w:szCs w:val="32"/>
        </w:rPr>
        <w:t>人力资源社会保障事业发展提供了</w:t>
      </w:r>
      <w:r>
        <w:rPr>
          <w:rStyle w:val="17"/>
          <w:rFonts w:hint="eastAsia" w:ascii="仿宋_GB2312" w:hAnsi="仿宋" w:eastAsia="仿宋_GB2312" w:cs="仿宋"/>
          <w:bCs/>
          <w:color w:val="auto"/>
          <w:sz w:val="32"/>
          <w:szCs w:val="32"/>
          <w:highlight w:val="none"/>
          <w:lang w:val="en-US" w:eastAsia="zh-CN"/>
        </w:rPr>
        <w:t>强大保障</w:t>
      </w:r>
      <w:r>
        <w:rPr>
          <w:rStyle w:val="17"/>
          <w:rFonts w:hint="eastAsia" w:ascii="仿宋_GB2312" w:hAnsi="仿宋" w:eastAsia="仿宋_GB2312" w:cs="仿宋"/>
          <w:bCs/>
          <w:color w:val="auto"/>
          <w:sz w:val="32"/>
          <w:szCs w:val="32"/>
        </w:rPr>
        <w:t>。</w:t>
      </w:r>
    </w:p>
    <w:p>
      <w:pPr>
        <w:adjustRightInd w:val="0"/>
        <w:snapToGrid w:val="0"/>
        <w:spacing w:line="360" w:lineRule="auto"/>
        <w:ind w:firstLine="643" w:firstLineChars="200"/>
        <w:rPr>
          <w:rStyle w:val="17"/>
          <w:rFonts w:ascii="仿宋_GB2312" w:hAnsi="仿宋" w:eastAsia="仿宋_GB2312" w:cs="仿宋"/>
          <w:bCs/>
          <w:color w:val="auto"/>
          <w:sz w:val="32"/>
          <w:szCs w:val="32"/>
          <w:highlight w:val="none"/>
        </w:rPr>
      </w:pPr>
      <w:r>
        <w:rPr>
          <w:rStyle w:val="17"/>
          <w:rFonts w:hint="eastAsia" w:ascii="仿宋_GB2312" w:hAnsi="仿宋" w:eastAsia="仿宋_GB2312" w:cs="仿宋"/>
          <w:b/>
          <w:bCs/>
          <w:color w:val="auto"/>
          <w:sz w:val="32"/>
          <w:szCs w:val="32"/>
        </w:rPr>
        <w:t>——汕尾经济发展质量效益持续提升，为事业发展孕育新潜力。</w:t>
      </w:r>
      <w:r>
        <w:rPr>
          <w:rStyle w:val="17"/>
          <w:rFonts w:hint="eastAsia" w:ascii="仿宋_GB2312" w:hAnsi="仿宋" w:eastAsia="仿宋_GB2312" w:cs="仿宋"/>
          <w:bCs/>
          <w:color w:val="auto"/>
          <w:sz w:val="32"/>
          <w:szCs w:val="32"/>
        </w:rPr>
        <w:t>2020年汕尾GDP跨越千亿元台阶，</w:t>
      </w:r>
      <w:r>
        <w:rPr>
          <w:rFonts w:hint="eastAsia" w:ascii="仿宋_GB2312" w:hAnsi="仿宋" w:eastAsia="仿宋_GB2312" w:cs="仿宋"/>
          <w:color w:val="auto"/>
          <w:sz w:val="32"/>
          <w:szCs w:val="32"/>
          <w:lang w:val="en-US" w:eastAsia="zh-CN"/>
        </w:rPr>
        <w:t>“十三五”以来，全区地区生产总值（GDP）由2015年的111.61亿元增加至2020年的287.28亿元（含市直），年均增长5.9%，规模以上工业增加值增加至70.43亿元。人均GDP由2015年的44834元增加至2020年的68598元。全体居民人均可支配收入由2015年的20642元增加到2020年的27632元。“十三五”期间，城镇新增就业人数累计30238人，进一步夯实了“十四五”时期城区社会经济发展的基础。产业结构得到进一步优化，三次产业比重由2016年的16.8：41.4：42.1，调整为2020年的9.27:33.53:57.2，为全区经济发展壮大奠定了良好的产业基础。其中：第一产业增加值由19.59亿元增加至26.63亿元；第二产业增加值由92.03亿元增加至96.33亿元；第三产业增加值由102.71亿元增加至164.32亿元。工业发展质量明显提高。2016年以来，规模以上工业增加值增速为7.9%，先进制造业、高技术制造业增加值占比不断提升。现代农业发展迈上新台阶，农林牧渔业总产值由2016年的30.32亿元增加到2020年的42.81亿元。</w:t>
      </w:r>
      <w:bookmarkStart w:id="7" w:name="_Hlk49495486"/>
      <w:r>
        <w:rPr>
          <w:rFonts w:hint="eastAsia" w:ascii="仿宋_GB2312" w:hAnsi="仿宋" w:eastAsia="仿宋_GB2312" w:cs="仿宋"/>
          <w:color w:val="auto"/>
          <w:sz w:val="32"/>
          <w:szCs w:val="32"/>
        </w:rPr>
        <w:t>这些为就业资金稳定投入、社保待遇稳步提高、收入分配改革、基础能力建设等奠定坚实物质基础。</w:t>
      </w:r>
      <w:r>
        <w:rPr>
          <w:rStyle w:val="17"/>
          <w:rFonts w:hint="eastAsia" w:ascii="仿宋_GB2312" w:hAnsi="仿宋" w:eastAsia="仿宋_GB2312" w:cs="仿宋"/>
          <w:bCs/>
          <w:color w:val="auto"/>
          <w:sz w:val="32"/>
          <w:szCs w:val="32"/>
        </w:rPr>
        <w:t>当前及今后较长的一段时期，城区经济持续增长的良好基础和条件没有变，结构调整优化的前进态势没有变，治理体系和治理能力形成的制度优势没有变，</w:t>
      </w:r>
      <w:r>
        <w:rPr>
          <w:rStyle w:val="17"/>
          <w:rFonts w:hint="eastAsia" w:ascii="仿宋_GB2312" w:hAnsi="仿宋" w:eastAsia="仿宋_GB2312" w:cs="仿宋"/>
          <w:bCs/>
          <w:color w:val="auto"/>
          <w:sz w:val="32"/>
          <w:szCs w:val="32"/>
          <w:highlight w:val="none"/>
        </w:rPr>
        <w:t>为促进</w:t>
      </w:r>
      <w:r>
        <w:rPr>
          <w:rStyle w:val="17"/>
          <w:rFonts w:hint="eastAsia" w:ascii="仿宋_GB2312" w:hAnsi="仿宋" w:eastAsia="仿宋_GB2312" w:cs="仿宋"/>
          <w:bCs/>
          <w:color w:val="auto"/>
          <w:sz w:val="32"/>
          <w:szCs w:val="32"/>
          <w:highlight w:val="none"/>
          <w:lang w:val="en-US" w:eastAsia="zh-CN"/>
        </w:rPr>
        <w:t>人社</w:t>
      </w:r>
      <w:r>
        <w:rPr>
          <w:rStyle w:val="17"/>
          <w:rFonts w:hint="eastAsia" w:ascii="仿宋_GB2312" w:hAnsi="仿宋" w:eastAsia="仿宋_GB2312" w:cs="仿宋"/>
          <w:bCs/>
          <w:color w:val="auto"/>
          <w:sz w:val="32"/>
          <w:szCs w:val="32"/>
          <w:highlight w:val="none"/>
        </w:rPr>
        <w:t>事业可持续发展提供</w:t>
      </w:r>
      <w:r>
        <w:rPr>
          <w:rStyle w:val="17"/>
          <w:rFonts w:hint="eastAsia" w:ascii="仿宋_GB2312" w:hAnsi="仿宋" w:eastAsia="仿宋_GB2312" w:cs="仿宋"/>
          <w:bCs/>
          <w:color w:val="auto"/>
          <w:sz w:val="32"/>
          <w:szCs w:val="32"/>
          <w:highlight w:val="none"/>
          <w:lang w:eastAsia="zh-CN"/>
        </w:rPr>
        <w:t>了</w:t>
      </w:r>
      <w:r>
        <w:rPr>
          <w:rStyle w:val="17"/>
          <w:rFonts w:hint="eastAsia" w:ascii="仿宋_GB2312" w:hAnsi="仿宋" w:eastAsia="仿宋_GB2312" w:cs="仿宋"/>
          <w:bCs/>
          <w:color w:val="auto"/>
          <w:sz w:val="32"/>
          <w:szCs w:val="32"/>
          <w:highlight w:val="none"/>
        </w:rPr>
        <w:t>新的</w:t>
      </w:r>
      <w:r>
        <w:rPr>
          <w:rStyle w:val="17"/>
          <w:rFonts w:hint="eastAsia" w:ascii="仿宋_GB2312" w:hAnsi="仿宋" w:eastAsia="仿宋_GB2312" w:cs="仿宋"/>
          <w:bCs/>
          <w:color w:val="auto"/>
          <w:sz w:val="32"/>
          <w:szCs w:val="32"/>
          <w:highlight w:val="none"/>
          <w:lang w:eastAsia="zh-CN"/>
        </w:rPr>
        <w:t>潜力和</w:t>
      </w:r>
      <w:r>
        <w:rPr>
          <w:rStyle w:val="17"/>
          <w:rFonts w:hint="eastAsia" w:ascii="仿宋_GB2312" w:hAnsi="仿宋" w:eastAsia="仿宋_GB2312" w:cs="仿宋"/>
          <w:bCs/>
          <w:color w:val="auto"/>
          <w:sz w:val="32"/>
          <w:szCs w:val="32"/>
          <w:highlight w:val="none"/>
        </w:rPr>
        <w:t>机遇。</w:t>
      </w:r>
    </w:p>
    <w:p>
      <w:pPr>
        <w:keepLines w:val="0"/>
        <w:pageBreakBefore w:val="0"/>
        <w:kinsoku/>
        <w:wordWrap/>
        <w:overflowPunct/>
        <w:topLinePunct w:val="0"/>
        <w:autoSpaceDE/>
        <w:autoSpaceDN/>
        <w:bidi w:val="0"/>
        <w:adjustRightInd w:val="0"/>
        <w:snapToGrid w:val="0"/>
        <w:spacing w:line="560" w:lineRule="exact"/>
        <w:ind w:firstLine="643" w:firstLineChars="200"/>
        <w:rPr>
          <w:rStyle w:val="17"/>
          <w:rFonts w:hint="eastAsia" w:ascii="仿宋_GB2312" w:hAnsi="仿宋" w:eastAsia="仿宋_GB2312" w:cs="仿宋"/>
          <w:bCs/>
          <w:color w:val="auto"/>
          <w:sz w:val="32"/>
          <w:szCs w:val="32"/>
        </w:rPr>
      </w:pPr>
      <w:r>
        <w:rPr>
          <w:rStyle w:val="17"/>
          <w:rFonts w:hint="eastAsia" w:ascii="仿宋_GB2312" w:hAnsi="仿宋" w:eastAsia="仿宋_GB2312" w:cs="仿宋"/>
          <w:b/>
          <w:bCs/>
          <w:color w:val="auto"/>
          <w:sz w:val="32"/>
          <w:szCs w:val="32"/>
        </w:rPr>
        <w:t>——“特区带老区”体制机制不断完善，为</w:t>
      </w:r>
      <w:r>
        <w:rPr>
          <w:rStyle w:val="17"/>
          <w:rFonts w:hint="eastAsia" w:ascii="仿宋_GB2312" w:hAnsi="仿宋" w:eastAsia="仿宋_GB2312" w:cs="仿宋"/>
          <w:b/>
          <w:bCs/>
          <w:color w:val="auto"/>
          <w:sz w:val="32"/>
          <w:szCs w:val="32"/>
          <w:highlight w:val="none"/>
          <w:lang w:val="en-US" w:eastAsia="zh-CN"/>
        </w:rPr>
        <w:t>人社</w:t>
      </w:r>
      <w:r>
        <w:rPr>
          <w:rStyle w:val="17"/>
          <w:rFonts w:hint="eastAsia" w:ascii="仿宋_GB2312" w:hAnsi="仿宋" w:eastAsia="仿宋_GB2312" w:cs="仿宋"/>
          <w:b/>
          <w:bCs/>
          <w:color w:val="auto"/>
          <w:sz w:val="32"/>
          <w:szCs w:val="32"/>
        </w:rPr>
        <w:t>事业发展增添</w:t>
      </w:r>
      <w:r>
        <w:rPr>
          <w:rStyle w:val="17"/>
          <w:rFonts w:hint="eastAsia" w:ascii="仿宋_GB2312" w:hAnsi="仿宋" w:eastAsia="仿宋_GB2312" w:cs="仿宋"/>
          <w:b/>
          <w:bCs/>
          <w:color w:val="auto"/>
          <w:sz w:val="32"/>
          <w:szCs w:val="32"/>
          <w:highlight w:val="none"/>
          <w:lang w:eastAsia="zh-CN"/>
        </w:rPr>
        <w:t>新动力</w:t>
      </w:r>
      <w:r>
        <w:rPr>
          <w:rStyle w:val="17"/>
          <w:rFonts w:hint="eastAsia" w:ascii="仿宋_GB2312" w:hAnsi="仿宋" w:eastAsia="仿宋_GB2312" w:cs="仿宋"/>
          <w:b/>
          <w:bCs/>
          <w:color w:val="auto"/>
          <w:sz w:val="32"/>
          <w:szCs w:val="32"/>
        </w:rPr>
        <w:t>。</w:t>
      </w:r>
      <w:bookmarkEnd w:id="7"/>
      <w:r>
        <w:rPr>
          <w:rStyle w:val="17"/>
          <w:rFonts w:hint="eastAsia" w:ascii="仿宋_GB2312" w:hAnsi="仿宋" w:eastAsia="仿宋_GB2312" w:cs="仿宋"/>
          <w:bCs/>
          <w:color w:val="auto"/>
          <w:sz w:val="32"/>
          <w:szCs w:val="32"/>
        </w:rPr>
        <w:t>中央对革命老区形成了完整的政策支持体系，省委、省政府出台《关于进一步推动我省革命老区和原中央苏区振兴发展的意见》，</w:t>
      </w:r>
      <w:r>
        <w:rPr>
          <w:rStyle w:val="17"/>
          <w:rFonts w:hint="eastAsia" w:ascii="仿宋_GB2312" w:hAnsi="仿宋" w:eastAsia="仿宋_GB2312" w:cs="仿宋"/>
          <w:bCs/>
          <w:color w:val="auto"/>
          <w:sz w:val="32"/>
          <w:szCs w:val="32"/>
          <w:lang w:eastAsia="zh-CN"/>
        </w:rPr>
        <w:t>继续安排深圳全面对口帮扶汕尾，</w:t>
      </w:r>
      <w:r>
        <w:rPr>
          <w:rStyle w:val="17"/>
          <w:rFonts w:hint="eastAsia" w:ascii="仿宋_GB2312" w:hAnsi="仿宋" w:eastAsia="仿宋_GB2312" w:cs="仿宋"/>
          <w:bCs/>
          <w:color w:val="auto"/>
          <w:sz w:val="32"/>
          <w:szCs w:val="32"/>
        </w:rPr>
        <w:t>继续安排深圳</w:t>
      </w:r>
      <w:r>
        <w:rPr>
          <w:rStyle w:val="17"/>
          <w:rFonts w:hint="eastAsia" w:ascii="仿宋_GB2312" w:hAnsi="仿宋" w:eastAsia="仿宋_GB2312" w:cs="仿宋"/>
          <w:bCs/>
          <w:color w:val="auto"/>
          <w:sz w:val="32"/>
          <w:szCs w:val="32"/>
          <w:lang w:eastAsia="zh-CN"/>
        </w:rPr>
        <w:t>光明区</w:t>
      </w:r>
      <w:r>
        <w:rPr>
          <w:rStyle w:val="17"/>
          <w:rFonts w:hint="eastAsia" w:ascii="仿宋_GB2312" w:hAnsi="仿宋" w:eastAsia="仿宋_GB2312" w:cs="仿宋"/>
          <w:bCs/>
          <w:color w:val="auto"/>
          <w:sz w:val="32"/>
          <w:szCs w:val="32"/>
        </w:rPr>
        <w:t>全面对口帮扶</w:t>
      </w:r>
      <w:r>
        <w:rPr>
          <w:rStyle w:val="17"/>
          <w:rFonts w:hint="eastAsia" w:ascii="仿宋_GB2312" w:hAnsi="仿宋" w:eastAsia="仿宋_GB2312" w:cs="仿宋"/>
          <w:bCs/>
          <w:color w:val="auto"/>
          <w:sz w:val="32"/>
          <w:szCs w:val="32"/>
          <w:lang w:eastAsia="zh-CN"/>
        </w:rPr>
        <w:t>城区。</w:t>
      </w:r>
      <w:r>
        <w:rPr>
          <w:rStyle w:val="17"/>
          <w:rFonts w:hint="eastAsia" w:ascii="仿宋_GB2312" w:hAnsi="仿宋" w:eastAsia="仿宋_GB2312" w:cs="仿宋"/>
          <w:bCs/>
          <w:color w:val="auto"/>
          <w:sz w:val="32"/>
          <w:szCs w:val="32"/>
        </w:rPr>
        <w:t>市委市政府、区委区政府也相应制定配套措施，</w:t>
      </w:r>
      <w:r>
        <w:rPr>
          <w:rStyle w:val="17"/>
          <w:rFonts w:hint="eastAsia" w:ascii="仿宋_GB2312" w:hAnsi="仿宋" w:eastAsia="仿宋_GB2312" w:cs="仿宋"/>
          <w:bCs/>
          <w:color w:val="auto"/>
          <w:sz w:val="32"/>
          <w:szCs w:val="32"/>
          <w:lang w:eastAsia="zh-CN"/>
        </w:rPr>
        <w:t>多重政策利好叠加，为城区高质量发展带来新契机</w:t>
      </w:r>
      <w:r>
        <w:rPr>
          <w:rStyle w:val="17"/>
          <w:rFonts w:hint="eastAsia" w:ascii="仿宋_GB2312" w:hAnsi="仿宋" w:eastAsia="仿宋_GB2312" w:cs="仿宋"/>
          <w:bCs/>
          <w:color w:val="auto"/>
          <w:sz w:val="32"/>
          <w:szCs w:val="32"/>
        </w:rPr>
        <w:t>。</w:t>
      </w:r>
      <w:bookmarkStart w:id="8" w:name="_Hlk49496158"/>
      <w:r>
        <w:rPr>
          <w:rStyle w:val="17"/>
          <w:rFonts w:hint="eastAsia" w:ascii="仿宋_GB2312" w:hAnsi="仿宋" w:eastAsia="仿宋_GB2312" w:cs="仿宋"/>
          <w:bCs/>
          <w:color w:val="auto"/>
          <w:sz w:val="32"/>
          <w:szCs w:val="32"/>
          <w:lang w:eastAsia="zh-CN"/>
        </w:rPr>
        <w:t>也为城区加快融入“双区”综合交通网络，加快承接“双区”城市功能疏解以及产业、金融、人才、文化等各类资源带来机遇。</w:t>
      </w:r>
      <w:r>
        <w:rPr>
          <w:rStyle w:val="17"/>
          <w:rFonts w:hint="eastAsia" w:ascii="仿宋_GB2312" w:hAnsi="仿宋" w:eastAsia="仿宋_GB2312" w:cs="仿宋"/>
          <w:bCs/>
          <w:color w:val="auto"/>
          <w:sz w:val="32"/>
          <w:szCs w:val="32"/>
        </w:rPr>
        <w:t>也为我</w:t>
      </w:r>
      <w:r>
        <w:rPr>
          <w:rStyle w:val="17"/>
          <w:rFonts w:hint="eastAsia" w:ascii="仿宋_GB2312" w:hAnsi="仿宋" w:eastAsia="仿宋_GB2312" w:cs="仿宋"/>
          <w:bCs/>
          <w:color w:val="auto"/>
          <w:sz w:val="32"/>
          <w:szCs w:val="32"/>
          <w:lang w:eastAsia="zh-CN"/>
        </w:rPr>
        <w:t>区</w:t>
      </w:r>
      <w:r>
        <w:rPr>
          <w:rStyle w:val="17"/>
          <w:rFonts w:hint="eastAsia" w:ascii="仿宋_GB2312" w:hAnsi="仿宋" w:eastAsia="仿宋_GB2312" w:cs="仿宋"/>
          <w:bCs/>
          <w:color w:val="auto"/>
          <w:sz w:val="32"/>
          <w:szCs w:val="32"/>
        </w:rPr>
        <w:t>人力资源社会保障事业发展提供了</w:t>
      </w:r>
      <w:r>
        <w:rPr>
          <w:rStyle w:val="17"/>
          <w:rFonts w:hint="eastAsia" w:ascii="仿宋_GB2312" w:hAnsi="仿宋" w:eastAsia="仿宋_GB2312" w:cs="仿宋"/>
          <w:bCs/>
          <w:color w:val="auto"/>
          <w:sz w:val="32"/>
          <w:szCs w:val="32"/>
          <w:highlight w:val="none"/>
        </w:rPr>
        <w:t>新</w:t>
      </w:r>
      <w:r>
        <w:rPr>
          <w:rStyle w:val="17"/>
          <w:rFonts w:hint="eastAsia" w:ascii="仿宋_GB2312" w:hAnsi="仿宋" w:eastAsia="仿宋_GB2312" w:cs="仿宋"/>
          <w:bCs/>
          <w:color w:val="auto"/>
          <w:sz w:val="32"/>
          <w:szCs w:val="32"/>
          <w:highlight w:val="none"/>
          <w:lang w:eastAsia="zh-CN"/>
        </w:rPr>
        <w:t>动力</w:t>
      </w:r>
      <w:r>
        <w:rPr>
          <w:rStyle w:val="17"/>
          <w:rFonts w:hint="eastAsia" w:ascii="仿宋_GB2312" w:hAnsi="仿宋" w:eastAsia="仿宋_GB2312" w:cs="仿宋"/>
          <w:bCs/>
          <w:color w:val="auto"/>
          <w:sz w:val="32"/>
          <w:szCs w:val="32"/>
        </w:rPr>
        <w:t>。</w:t>
      </w:r>
    </w:p>
    <w:bookmarkEnd w:id="8"/>
    <w:p>
      <w:pPr>
        <w:keepLines w:val="0"/>
        <w:pageBreakBefore w:val="0"/>
        <w:kinsoku/>
        <w:wordWrap/>
        <w:overflowPunct/>
        <w:topLinePunct w:val="0"/>
        <w:autoSpaceDE/>
        <w:autoSpaceDN/>
        <w:bidi w:val="0"/>
        <w:adjustRightInd w:val="0"/>
        <w:snapToGrid w:val="0"/>
        <w:spacing w:line="560" w:lineRule="exact"/>
        <w:ind w:firstLine="643" w:firstLineChars="200"/>
        <w:rPr>
          <w:rStyle w:val="17"/>
          <w:rFonts w:hint="eastAsia" w:ascii="仿宋_GB2312" w:hAnsi="仿宋" w:eastAsia="仿宋_GB2312" w:cs="仿宋"/>
          <w:b/>
          <w:bCs/>
          <w:sz w:val="32"/>
          <w:szCs w:val="32"/>
        </w:rPr>
      </w:pPr>
      <w:r>
        <w:rPr>
          <w:rStyle w:val="17"/>
          <w:rFonts w:hint="eastAsia" w:ascii="仿宋_GB2312" w:hAnsi="仿宋" w:eastAsia="仿宋_GB2312" w:cs="仿宋"/>
          <w:b/>
          <w:bCs/>
          <w:sz w:val="32"/>
          <w:szCs w:val="32"/>
        </w:rPr>
        <w:t xml:space="preserve"> 二、主要挑战</w:t>
      </w:r>
    </w:p>
    <w:p>
      <w:pPr>
        <w:keepLines w:val="0"/>
        <w:pageBreakBefore w:val="0"/>
        <w:kinsoku/>
        <w:wordWrap/>
        <w:overflowPunct/>
        <w:topLinePunct w:val="0"/>
        <w:autoSpaceDE/>
        <w:autoSpaceDN/>
        <w:bidi w:val="0"/>
        <w:adjustRightInd w:val="0"/>
        <w:snapToGrid w:val="0"/>
        <w:spacing w:line="560" w:lineRule="exact"/>
        <w:ind w:firstLine="643" w:firstLineChars="200"/>
        <w:rPr>
          <w:rStyle w:val="17"/>
          <w:rFonts w:hint="eastAsia" w:ascii="仿宋_GB2312" w:hAnsi="仿宋" w:eastAsia="仿宋_GB2312" w:cs="仿宋"/>
          <w:bCs/>
          <w:sz w:val="32"/>
          <w:szCs w:val="32"/>
        </w:rPr>
      </w:pPr>
      <w:r>
        <w:rPr>
          <w:rStyle w:val="17"/>
          <w:rFonts w:hint="eastAsia" w:ascii="仿宋_GB2312" w:hAnsi="仿宋" w:eastAsia="仿宋_GB2312" w:cs="仿宋"/>
          <w:b/>
          <w:bCs/>
          <w:sz w:val="32"/>
          <w:szCs w:val="32"/>
        </w:rPr>
        <w:t>——世界处于百年未有之大变局，发展不确定性和风险挑战明显</w:t>
      </w:r>
      <w:r>
        <w:rPr>
          <w:rStyle w:val="17"/>
          <w:rFonts w:hint="eastAsia" w:ascii="仿宋_GB2312" w:hAnsi="仿宋" w:eastAsia="仿宋_GB2312" w:cs="仿宋"/>
          <w:b/>
          <w:bCs/>
          <w:color w:val="auto"/>
          <w:sz w:val="32"/>
          <w:szCs w:val="32"/>
          <w:highlight w:val="none"/>
          <w:lang w:eastAsia="zh-CN"/>
        </w:rPr>
        <w:t>增强</w:t>
      </w:r>
      <w:r>
        <w:rPr>
          <w:rStyle w:val="17"/>
          <w:rFonts w:hint="eastAsia" w:ascii="仿宋_GB2312" w:hAnsi="仿宋" w:eastAsia="仿宋_GB2312" w:cs="仿宋"/>
          <w:b/>
          <w:bCs/>
          <w:sz w:val="32"/>
          <w:szCs w:val="32"/>
        </w:rPr>
        <w:t>。</w:t>
      </w:r>
      <w:r>
        <w:rPr>
          <w:rStyle w:val="17"/>
          <w:rFonts w:hint="eastAsia" w:ascii="仿宋_GB2312" w:hAnsi="仿宋" w:eastAsia="仿宋_GB2312" w:cs="仿宋"/>
          <w:bCs/>
          <w:sz w:val="32"/>
          <w:szCs w:val="32"/>
        </w:rPr>
        <w:t>世界经济不确定不稳定因素增多，贸易保护主义倾向抬头，贸易摩擦时有发生，我国将在一个更加不稳定不确定的世界中谋求发展。全球新冠肺炎疫情影响下贸易保护主义和单边主义抬头，对外贸易可能大幅萎缩，产业链和供应链将发生较大调整，更多中高端产业回流发达国家，中低端产业向低成本地区</w:t>
      </w:r>
      <w:r>
        <w:rPr>
          <w:rStyle w:val="17"/>
          <w:rFonts w:hint="eastAsia" w:ascii="仿宋_GB2312" w:hAnsi="仿宋" w:eastAsia="仿宋_GB2312" w:cs="仿宋"/>
          <w:bCs/>
          <w:sz w:val="32"/>
          <w:szCs w:val="32"/>
          <w:lang w:eastAsia="zh-CN"/>
        </w:rPr>
        <w:t>和国家</w:t>
      </w:r>
      <w:r>
        <w:rPr>
          <w:rStyle w:val="17"/>
          <w:rFonts w:hint="eastAsia" w:ascii="仿宋_GB2312" w:hAnsi="仿宋" w:eastAsia="仿宋_GB2312" w:cs="仿宋"/>
          <w:bCs/>
          <w:sz w:val="32"/>
          <w:szCs w:val="32"/>
        </w:rPr>
        <w:t>转移，整体就业压力将更加严峻，社保扩面征缴空间压缩，人才、资金、数据的自由流动也将面临许多障碍。</w:t>
      </w:r>
    </w:p>
    <w:p>
      <w:pPr>
        <w:keepLines w:val="0"/>
        <w:pageBreakBefore w:val="0"/>
        <w:kinsoku/>
        <w:wordWrap/>
        <w:overflowPunct/>
        <w:topLinePunct w:val="0"/>
        <w:autoSpaceDE/>
        <w:autoSpaceDN/>
        <w:bidi w:val="0"/>
        <w:adjustRightInd w:val="0"/>
        <w:snapToGrid w:val="0"/>
        <w:spacing w:line="560" w:lineRule="exact"/>
        <w:ind w:firstLine="643" w:firstLineChars="200"/>
        <w:rPr>
          <w:rStyle w:val="17"/>
          <w:rFonts w:hint="eastAsia" w:ascii="仿宋_GB2312" w:hAnsi="仿宋" w:eastAsia="仿宋_GB2312" w:cs="仿宋"/>
          <w:bCs/>
          <w:sz w:val="32"/>
          <w:szCs w:val="32"/>
        </w:rPr>
      </w:pPr>
      <w:r>
        <w:rPr>
          <w:rStyle w:val="17"/>
          <w:rFonts w:hint="eastAsia" w:ascii="仿宋_GB2312" w:hAnsi="仿宋" w:eastAsia="仿宋_GB2312" w:cs="仿宋"/>
          <w:b/>
          <w:bCs/>
          <w:sz w:val="32"/>
          <w:szCs w:val="32"/>
        </w:rPr>
        <w:t>——社会结构变动和转型加速，对自身治理能力要求进一步提升。</w:t>
      </w:r>
      <w:r>
        <w:rPr>
          <w:rStyle w:val="17"/>
          <w:rFonts w:hint="eastAsia" w:ascii="仿宋_GB2312" w:hAnsi="仿宋" w:eastAsia="仿宋_GB2312" w:cs="仿宋"/>
          <w:bCs/>
          <w:sz w:val="32"/>
          <w:szCs w:val="32"/>
        </w:rPr>
        <w:t>一方面，汕尾</w:t>
      </w:r>
      <w:r>
        <w:rPr>
          <w:rStyle w:val="17"/>
          <w:rFonts w:hint="eastAsia" w:ascii="仿宋_GB2312" w:hAnsi="仿宋" w:eastAsia="仿宋_GB2312" w:cs="仿宋"/>
          <w:bCs/>
          <w:sz w:val="32"/>
          <w:szCs w:val="32"/>
          <w:lang w:eastAsia="zh-CN"/>
        </w:rPr>
        <w:t>市城区</w:t>
      </w:r>
      <w:r>
        <w:rPr>
          <w:rStyle w:val="17"/>
          <w:rFonts w:hint="eastAsia" w:ascii="仿宋_GB2312" w:hAnsi="仿宋" w:eastAsia="仿宋_GB2312" w:cs="仿宋"/>
          <w:bCs/>
          <w:sz w:val="32"/>
          <w:szCs w:val="32"/>
        </w:rPr>
        <w:t>与粤港澳大湾区联系密切，人员流动频繁，社会需求多样性、利益关系复杂性和社会矛盾多发性都很突出；另一方面，汕尾</w:t>
      </w:r>
      <w:r>
        <w:rPr>
          <w:rStyle w:val="17"/>
          <w:rFonts w:hint="eastAsia" w:ascii="仿宋_GB2312" w:hAnsi="仿宋" w:eastAsia="仿宋_GB2312" w:cs="仿宋"/>
          <w:bCs/>
          <w:sz w:val="32"/>
          <w:szCs w:val="32"/>
          <w:lang w:eastAsia="zh-CN"/>
        </w:rPr>
        <w:t>城区</w:t>
      </w:r>
      <w:r>
        <w:rPr>
          <w:rStyle w:val="17"/>
          <w:rFonts w:hint="eastAsia" w:ascii="仿宋_GB2312" w:hAnsi="仿宋" w:eastAsia="仿宋_GB2312" w:cs="仿宋"/>
          <w:bCs/>
          <w:sz w:val="32"/>
          <w:szCs w:val="32"/>
        </w:rPr>
        <w:t>人力资源社会保障事业发展质量不高、结构不优、城乡发展不平衡等问题仍然存在，就业创业政策还不能很好适应新产业新业态的发展，劳资纠纷隐患凸显，公共服务需求与供给不足的矛盾愈加突出，需要进一步深化改革，形成更高质量制度供给，稳步推进社会民生治理体系和治理能力现代化。</w:t>
      </w:r>
    </w:p>
    <w:p>
      <w:pPr>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Style w:val="17"/>
          <w:rFonts w:hint="eastAsia" w:ascii="仿宋_GB2312" w:hAnsi="仿宋" w:eastAsia="仿宋_GB2312" w:cs="仿宋"/>
          <w:bCs/>
          <w:sz w:val="32"/>
          <w:szCs w:val="32"/>
        </w:rPr>
      </w:pPr>
      <w:r>
        <w:rPr>
          <w:rStyle w:val="17"/>
          <w:rFonts w:hint="eastAsia" w:ascii="仿宋_GB2312" w:hAnsi="仿宋" w:eastAsia="仿宋_GB2312" w:cs="仿宋"/>
          <w:b/>
          <w:bCs/>
          <w:sz w:val="32"/>
          <w:szCs w:val="32"/>
        </w:rPr>
        <w:t>——经济发展基础仍较薄弱，人社领域仍存在较多短板。</w:t>
      </w:r>
      <w:r>
        <w:rPr>
          <w:rStyle w:val="17"/>
          <w:rFonts w:hint="eastAsia" w:ascii="仿宋_GB2312" w:hAnsi="仿宋" w:eastAsia="仿宋_GB2312" w:cs="仿宋"/>
          <w:bCs/>
          <w:sz w:val="32"/>
          <w:szCs w:val="32"/>
        </w:rPr>
        <w:t>汕尾</w:t>
      </w:r>
      <w:r>
        <w:rPr>
          <w:rStyle w:val="17"/>
          <w:rFonts w:hint="eastAsia" w:ascii="仿宋_GB2312" w:hAnsi="仿宋" w:eastAsia="仿宋_GB2312" w:cs="仿宋"/>
          <w:bCs/>
          <w:sz w:val="32"/>
          <w:szCs w:val="32"/>
          <w:lang w:eastAsia="zh-CN"/>
        </w:rPr>
        <w:t>城区</w:t>
      </w:r>
      <w:r>
        <w:rPr>
          <w:rStyle w:val="17"/>
          <w:rFonts w:hint="eastAsia" w:ascii="仿宋_GB2312" w:hAnsi="仿宋" w:eastAsia="仿宋_GB2312" w:cs="仿宋"/>
          <w:bCs/>
          <w:sz w:val="32"/>
          <w:szCs w:val="32"/>
        </w:rPr>
        <w:t>经济发展总体水平较为落后，</w:t>
      </w:r>
      <w:r>
        <w:rPr>
          <w:rFonts w:hint="eastAsia" w:ascii="仿宋_GB2312" w:hAnsi="仿宋" w:eastAsia="仿宋_GB2312" w:cs="仿宋"/>
          <w:color w:val="000000"/>
          <w:sz w:val="32"/>
          <w:szCs w:val="32"/>
        </w:rPr>
        <w:t>经济总量小，产业基础薄弱，财政收入动力不足，缺乏资金保障，重点产业、重点项目配套资金筹措压力大。</w:t>
      </w:r>
      <w:r>
        <w:rPr>
          <w:rFonts w:hint="eastAsia" w:ascii="仿宋_GB2312" w:hAnsi="仿宋" w:eastAsia="仿宋_GB2312" w:cs="仿宋"/>
          <w:color w:val="000000"/>
          <w:sz w:val="32"/>
          <w:szCs w:val="32"/>
          <w:lang w:val="en-US" w:eastAsia="zh-CN"/>
        </w:rPr>
        <w:t>创新能力不足，</w:t>
      </w:r>
      <w:r>
        <w:rPr>
          <w:rFonts w:hint="eastAsia" w:ascii="仿宋_GB2312" w:hAnsi="仿宋" w:eastAsia="仿宋_GB2312" w:cs="仿宋"/>
          <w:color w:val="000000"/>
          <w:sz w:val="32"/>
          <w:szCs w:val="32"/>
        </w:rPr>
        <w:t>平台载体不足支撑地方发展，</w:t>
      </w:r>
      <w:bookmarkStart w:id="9" w:name="_Hlk54533194"/>
      <w:r>
        <w:rPr>
          <w:rFonts w:hint="eastAsia" w:ascii="仿宋_GB2312" w:hAnsi="仿宋" w:eastAsia="仿宋_GB2312" w:cs="仿宋"/>
          <w:color w:val="000000"/>
          <w:sz w:val="32"/>
          <w:szCs w:val="32"/>
        </w:rPr>
        <w:t>产业和创新体系不完备，小微企业生存困难。</w:t>
      </w:r>
      <w:bookmarkEnd w:id="9"/>
      <w:r>
        <w:rPr>
          <w:rFonts w:hint="eastAsia" w:ascii="仿宋_GB2312" w:hAnsi="仿宋" w:eastAsia="仿宋_GB2312" w:cs="仿宋"/>
          <w:color w:val="000000"/>
          <w:sz w:val="32"/>
          <w:szCs w:val="32"/>
          <w:lang w:val="en-US" w:eastAsia="zh-CN"/>
        </w:rPr>
        <w:t>中心城区首位度不高，</w:t>
      </w:r>
      <w:r>
        <w:rPr>
          <w:rFonts w:hint="eastAsia" w:ascii="仿宋_GB2312" w:hAnsi="仿宋" w:eastAsia="仿宋_GB2312" w:cs="仿宋"/>
          <w:color w:val="000000"/>
          <w:sz w:val="32"/>
          <w:szCs w:val="32"/>
        </w:rPr>
        <w:t>民生攻坚存在短板，教育医疗卫生领域人才紧缺，民生建设水平与人民对美好生活的需求尚存差距。</w:t>
      </w:r>
      <w:r>
        <w:rPr>
          <w:rStyle w:val="17"/>
          <w:rFonts w:hint="eastAsia" w:ascii="仿宋_GB2312" w:hAnsi="仿宋" w:eastAsia="仿宋_GB2312" w:cs="仿宋"/>
          <w:bCs/>
          <w:sz w:val="32"/>
          <w:szCs w:val="32"/>
        </w:rPr>
        <w:t>汕尾</w:t>
      </w:r>
      <w:r>
        <w:rPr>
          <w:rStyle w:val="17"/>
          <w:rFonts w:hint="eastAsia" w:ascii="仿宋_GB2312" w:hAnsi="仿宋" w:eastAsia="仿宋_GB2312" w:cs="仿宋"/>
          <w:bCs/>
          <w:sz w:val="32"/>
          <w:szCs w:val="32"/>
          <w:lang w:eastAsia="zh-CN"/>
        </w:rPr>
        <w:t>市城区</w:t>
      </w:r>
      <w:r>
        <w:rPr>
          <w:rStyle w:val="17"/>
          <w:rFonts w:hint="eastAsia" w:ascii="仿宋_GB2312" w:hAnsi="仿宋" w:eastAsia="仿宋_GB2312" w:cs="仿宋"/>
          <w:bCs/>
          <w:sz w:val="32"/>
          <w:szCs w:val="32"/>
        </w:rPr>
        <w:t>地方财政资金紧张，民生领域欠账较多，基层治理体系和治理能力较为薄弱，深层次矛盾日益凸显，新旧矛盾相互交织，维护社会和谐稳定难度增加，这为汕尾</w:t>
      </w:r>
      <w:r>
        <w:rPr>
          <w:rStyle w:val="17"/>
          <w:rFonts w:hint="eastAsia" w:ascii="仿宋_GB2312" w:hAnsi="仿宋" w:eastAsia="仿宋_GB2312" w:cs="仿宋"/>
          <w:bCs/>
          <w:sz w:val="32"/>
          <w:szCs w:val="32"/>
          <w:lang w:eastAsia="zh-CN"/>
        </w:rPr>
        <w:t>城区</w:t>
      </w:r>
      <w:r>
        <w:rPr>
          <w:rStyle w:val="17"/>
          <w:rFonts w:hint="eastAsia" w:ascii="仿宋_GB2312" w:hAnsi="仿宋" w:eastAsia="仿宋_GB2312" w:cs="仿宋"/>
          <w:bCs/>
          <w:sz w:val="32"/>
          <w:szCs w:val="32"/>
        </w:rPr>
        <w:t>人力资源社会保障事业发展带来较大挑战。</w:t>
      </w:r>
    </w:p>
    <w:p>
      <w:pPr>
        <w:pStyle w:val="12"/>
        <w:rPr>
          <w:rFonts w:hint="eastAsia"/>
        </w:rPr>
      </w:pPr>
    </w:p>
    <w:p>
      <w:pPr>
        <w:pStyle w:val="3"/>
        <w:keepLines w:val="0"/>
        <w:pageBreakBefore w:val="0"/>
        <w:kinsoku/>
        <w:wordWrap/>
        <w:overflowPunct/>
        <w:topLinePunct w:val="0"/>
        <w:autoSpaceDE/>
        <w:autoSpaceDN/>
        <w:bidi w:val="0"/>
        <w:adjustRightInd w:val="0"/>
        <w:snapToGrid w:val="0"/>
        <w:spacing w:before="120" w:beforeLines="50" w:after="120" w:afterLines="50" w:line="560" w:lineRule="exact"/>
        <w:jc w:val="center"/>
        <w:rPr>
          <w:rFonts w:ascii="Calibri" w:hAnsi="Calibri" w:eastAsia="黑体"/>
          <w:sz w:val="44"/>
          <w:szCs w:val="44"/>
          <w:lang w:val="en-US" w:eastAsia="zh-CN"/>
        </w:rPr>
      </w:pPr>
      <w:bookmarkStart w:id="10" w:name="_Toc9357"/>
    </w:p>
    <w:p>
      <w:pPr>
        <w:pStyle w:val="3"/>
        <w:keepLines w:val="0"/>
        <w:pageBreakBefore w:val="0"/>
        <w:kinsoku/>
        <w:wordWrap/>
        <w:overflowPunct/>
        <w:topLinePunct w:val="0"/>
        <w:autoSpaceDE/>
        <w:autoSpaceDN/>
        <w:bidi w:val="0"/>
        <w:adjustRightInd w:val="0"/>
        <w:snapToGrid w:val="0"/>
        <w:spacing w:before="120" w:beforeLines="50" w:after="120" w:afterLines="50" w:line="560" w:lineRule="exact"/>
        <w:jc w:val="center"/>
        <w:rPr>
          <w:rFonts w:ascii="Calibri" w:hAnsi="Calibri" w:eastAsia="黑体"/>
          <w:sz w:val="44"/>
          <w:szCs w:val="44"/>
          <w:lang w:val="en-US" w:eastAsia="zh-CN"/>
        </w:rPr>
      </w:pPr>
    </w:p>
    <w:p>
      <w:pPr>
        <w:pStyle w:val="3"/>
        <w:keepLines w:val="0"/>
        <w:pageBreakBefore w:val="0"/>
        <w:kinsoku/>
        <w:wordWrap/>
        <w:overflowPunct/>
        <w:topLinePunct w:val="0"/>
        <w:autoSpaceDE/>
        <w:autoSpaceDN/>
        <w:bidi w:val="0"/>
        <w:adjustRightInd w:val="0"/>
        <w:snapToGrid w:val="0"/>
        <w:spacing w:before="120" w:beforeLines="50" w:after="120" w:afterLines="50" w:line="560" w:lineRule="exact"/>
        <w:jc w:val="center"/>
        <w:rPr>
          <w:rFonts w:ascii="Calibri" w:hAnsi="Calibri" w:eastAsia="黑体"/>
          <w:sz w:val="44"/>
          <w:szCs w:val="44"/>
          <w:lang w:val="en-US" w:eastAsia="zh-CN"/>
        </w:rPr>
      </w:pPr>
    </w:p>
    <w:p>
      <w:pPr>
        <w:pStyle w:val="3"/>
        <w:keepLines w:val="0"/>
        <w:pageBreakBefore w:val="0"/>
        <w:kinsoku/>
        <w:wordWrap/>
        <w:overflowPunct/>
        <w:topLinePunct w:val="0"/>
        <w:autoSpaceDE/>
        <w:autoSpaceDN/>
        <w:bidi w:val="0"/>
        <w:adjustRightInd w:val="0"/>
        <w:snapToGrid w:val="0"/>
        <w:spacing w:before="120" w:beforeLines="50" w:after="120" w:afterLines="50" w:line="560" w:lineRule="exact"/>
        <w:jc w:val="center"/>
        <w:rPr>
          <w:rFonts w:ascii="Calibri" w:hAnsi="Calibri" w:eastAsia="黑体"/>
          <w:sz w:val="44"/>
          <w:szCs w:val="44"/>
          <w:lang w:val="en-US" w:eastAsia="zh-CN"/>
        </w:rPr>
      </w:pPr>
    </w:p>
    <w:p>
      <w:pPr>
        <w:pStyle w:val="3"/>
        <w:keepLines w:val="0"/>
        <w:pageBreakBefore w:val="0"/>
        <w:kinsoku/>
        <w:wordWrap/>
        <w:overflowPunct/>
        <w:topLinePunct w:val="0"/>
        <w:autoSpaceDE/>
        <w:autoSpaceDN/>
        <w:bidi w:val="0"/>
        <w:adjustRightInd w:val="0"/>
        <w:snapToGrid w:val="0"/>
        <w:spacing w:before="120" w:beforeLines="50" w:after="120" w:afterLines="50" w:line="560" w:lineRule="exact"/>
        <w:jc w:val="center"/>
        <w:rPr>
          <w:rFonts w:ascii="Calibri" w:hAnsi="Calibri" w:eastAsia="黑体"/>
          <w:sz w:val="44"/>
          <w:szCs w:val="44"/>
          <w:lang w:val="en-US" w:eastAsia="zh-CN"/>
        </w:rPr>
      </w:pPr>
    </w:p>
    <w:p>
      <w:pPr>
        <w:pStyle w:val="3"/>
        <w:keepLines w:val="0"/>
        <w:pageBreakBefore w:val="0"/>
        <w:kinsoku/>
        <w:wordWrap/>
        <w:overflowPunct/>
        <w:topLinePunct w:val="0"/>
        <w:autoSpaceDE/>
        <w:autoSpaceDN/>
        <w:bidi w:val="0"/>
        <w:adjustRightInd w:val="0"/>
        <w:snapToGrid w:val="0"/>
        <w:spacing w:before="120" w:beforeLines="50" w:after="120" w:afterLines="50" w:line="560" w:lineRule="exact"/>
        <w:jc w:val="center"/>
        <w:rPr>
          <w:rFonts w:ascii="Calibri" w:hAnsi="Calibri" w:eastAsia="黑体"/>
          <w:sz w:val="44"/>
          <w:szCs w:val="44"/>
          <w:lang w:val="en-US" w:eastAsia="zh-CN"/>
        </w:rPr>
      </w:pPr>
    </w:p>
    <w:p>
      <w:pPr>
        <w:pStyle w:val="3"/>
        <w:keepLines w:val="0"/>
        <w:pageBreakBefore w:val="0"/>
        <w:kinsoku/>
        <w:wordWrap/>
        <w:overflowPunct/>
        <w:topLinePunct w:val="0"/>
        <w:autoSpaceDE/>
        <w:autoSpaceDN/>
        <w:bidi w:val="0"/>
        <w:adjustRightInd w:val="0"/>
        <w:snapToGrid w:val="0"/>
        <w:spacing w:before="120" w:beforeLines="50" w:after="120" w:afterLines="50" w:line="560" w:lineRule="exact"/>
        <w:jc w:val="center"/>
        <w:rPr>
          <w:rFonts w:ascii="Calibri" w:hAnsi="Calibri" w:eastAsia="黑体"/>
          <w:sz w:val="44"/>
          <w:szCs w:val="44"/>
          <w:lang w:val="en-US" w:eastAsia="zh-CN"/>
        </w:rPr>
      </w:pPr>
      <w:bookmarkStart w:id="11" w:name="_Toc2683"/>
      <w:r>
        <w:rPr>
          <w:rFonts w:ascii="Calibri" w:hAnsi="Calibri" w:eastAsia="黑体"/>
          <w:sz w:val="44"/>
          <w:szCs w:val="44"/>
          <w:lang w:val="en-US" w:eastAsia="zh-CN"/>
        </w:rPr>
        <w:t>第二章  总体要求</w:t>
      </w:r>
      <w:bookmarkEnd w:id="10"/>
      <w:bookmarkEnd w:id="11"/>
    </w:p>
    <w:p>
      <w:pPr>
        <w:pStyle w:val="4"/>
        <w:keepNext w:val="0"/>
        <w:keepLines w:val="0"/>
        <w:pageBreakBefore w:val="0"/>
        <w:kinsoku/>
        <w:wordWrap/>
        <w:overflowPunct/>
        <w:topLinePunct w:val="0"/>
        <w:autoSpaceDE/>
        <w:autoSpaceDN/>
        <w:bidi w:val="0"/>
        <w:adjustRightInd w:val="0"/>
        <w:snapToGrid w:val="0"/>
        <w:spacing w:before="120" w:beforeLines="50" w:after="120" w:afterLines="50" w:line="560" w:lineRule="exact"/>
        <w:jc w:val="both"/>
        <w:rPr>
          <w:rFonts w:hint="eastAsia" w:ascii="Cambria" w:hAnsi="Cambria" w:eastAsia="楷体_GB2312"/>
          <w:color w:val="000000"/>
          <w:sz w:val="34"/>
        </w:rPr>
      </w:pPr>
      <w:bookmarkStart w:id="12" w:name="_Toc9913"/>
    </w:p>
    <w:p>
      <w:pPr>
        <w:pStyle w:val="4"/>
        <w:keepNext w:val="0"/>
        <w:keepLines w:val="0"/>
        <w:pageBreakBefore w:val="0"/>
        <w:kinsoku/>
        <w:wordWrap/>
        <w:overflowPunct/>
        <w:topLinePunct w:val="0"/>
        <w:autoSpaceDE/>
        <w:autoSpaceDN/>
        <w:bidi w:val="0"/>
        <w:adjustRightInd w:val="0"/>
        <w:snapToGrid w:val="0"/>
        <w:spacing w:before="120" w:beforeLines="50" w:after="120" w:afterLines="50" w:line="560" w:lineRule="exact"/>
        <w:ind w:firstLine="2731" w:firstLineChars="800"/>
        <w:jc w:val="both"/>
        <w:rPr>
          <w:rFonts w:ascii="Cambria" w:hAnsi="Cambria" w:eastAsia="楷体_GB2312"/>
          <w:color w:val="000000"/>
          <w:sz w:val="34"/>
        </w:rPr>
      </w:pPr>
      <w:bookmarkStart w:id="13" w:name="_Toc23389"/>
      <w:r>
        <w:rPr>
          <w:rFonts w:hint="eastAsia" w:ascii="Cambria" w:hAnsi="Cambria" w:eastAsia="楷体_GB2312"/>
          <w:color w:val="000000"/>
          <w:sz w:val="34"/>
        </w:rPr>
        <w:t xml:space="preserve">第一节  </w:t>
      </w:r>
      <w:r>
        <w:rPr>
          <w:rFonts w:ascii="Cambria" w:hAnsi="Cambria" w:eastAsia="楷体_GB2312"/>
          <w:color w:val="000000"/>
          <w:sz w:val="34"/>
        </w:rPr>
        <w:t>指导思想</w:t>
      </w:r>
      <w:bookmarkEnd w:id="12"/>
      <w:bookmarkEnd w:id="13"/>
    </w:p>
    <w:p>
      <w:pPr>
        <w:keepLines w:val="0"/>
        <w:pageBreakBefore w:val="0"/>
        <w:kinsoku/>
        <w:wordWrap/>
        <w:overflowPunct/>
        <w:topLinePunct w:val="0"/>
        <w:autoSpaceDE/>
        <w:autoSpaceDN/>
        <w:bidi w:val="0"/>
        <w:adjustRightInd w:val="0"/>
        <w:snapToGrid w:val="0"/>
        <w:spacing w:line="560" w:lineRule="exact"/>
        <w:rPr>
          <w:rStyle w:val="17"/>
          <w:rFonts w:ascii="仿宋_GB2312" w:hAnsi="仿宋" w:eastAsia="仿宋_GB2312" w:cs="仿宋"/>
          <w:bCs/>
          <w:color w:val="auto"/>
          <w:sz w:val="32"/>
          <w:szCs w:val="32"/>
        </w:rPr>
      </w:pPr>
      <w:r>
        <w:rPr>
          <w:rStyle w:val="17"/>
          <w:rFonts w:hint="eastAsia" w:ascii="仿宋_GB2312" w:hAnsi="仿宋" w:eastAsia="仿宋_GB2312" w:cs="仿宋"/>
          <w:bCs/>
          <w:sz w:val="32"/>
          <w:szCs w:val="32"/>
        </w:rPr>
        <w:t xml:space="preserve">     </w:t>
      </w:r>
      <w:r>
        <w:rPr>
          <w:rStyle w:val="17"/>
          <w:rFonts w:hint="eastAsia" w:ascii="仿宋_GB2312" w:hAnsi="仿宋" w:eastAsia="仿宋_GB2312" w:cs="仿宋"/>
          <w:bCs/>
          <w:color w:val="auto"/>
          <w:sz w:val="32"/>
          <w:szCs w:val="32"/>
        </w:rPr>
        <w:t>高举中国特色社会主义伟大旗帜，深入贯彻党的十九大和十九届二中、三中、四中、五中</w:t>
      </w:r>
      <w:r>
        <w:rPr>
          <w:rStyle w:val="17"/>
          <w:rFonts w:hint="eastAsia" w:ascii="仿宋_GB2312" w:hAnsi="仿宋" w:eastAsia="仿宋_GB2312" w:cs="仿宋"/>
          <w:bCs/>
          <w:color w:val="auto"/>
          <w:sz w:val="32"/>
          <w:szCs w:val="32"/>
          <w:highlight w:val="none"/>
        </w:rPr>
        <w:t>、六中</w:t>
      </w:r>
      <w:r>
        <w:rPr>
          <w:rStyle w:val="17"/>
          <w:rFonts w:hint="eastAsia" w:ascii="仿宋_GB2312" w:hAnsi="仿宋" w:eastAsia="仿宋_GB2312" w:cs="仿宋"/>
          <w:bCs/>
          <w:color w:val="auto"/>
          <w:sz w:val="32"/>
          <w:szCs w:val="32"/>
        </w:rPr>
        <w:t>全会精神，</w:t>
      </w:r>
      <w:r>
        <w:rPr>
          <w:rStyle w:val="17"/>
          <w:rFonts w:hint="eastAsia" w:ascii="仿宋_GB2312" w:hAnsi="仿宋" w:eastAsia="仿宋_GB2312" w:cs="仿宋"/>
          <w:bCs/>
          <w:color w:val="auto"/>
          <w:sz w:val="32"/>
          <w:szCs w:val="32"/>
          <w:highlight w:val="none"/>
        </w:rPr>
        <w:t>弘扬伟大建党精神，坚持以习近平新时代中国特色社会主义思想为</w:t>
      </w:r>
      <w:r>
        <w:rPr>
          <w:rStyle w:val="17"/>
          <w:rFonts w:hint="eastAsia" w:ascii="仿宋_GB2312" w:hAnsi="仿宋" w:eastAsia="仿宋_GB2312" w:cs="仿宋"/>
          <w:bCs/>
          <w:color w:val="auto"/>
          <w:sz w:val="32"/>
          <w:szCs w:val="32"/>
          <w:highlight w:val="none"/>
          <w:lang w:eastAsia="zh-CN"/>
        </w:rPr>
        <w:t>指引</w:t>
      </w:r>
      <w:r>
        <w:rPr>
          <w:rStyle w:val="17"/>
          <w:rFonts w:hint="eastAsia" w:ascii="仿宋_GB2312" w:hAnsi="仿宋" w:eastAsia="仿宋_GB2312" w:cs="仿宋"/>
          <w:bCs/>
          <w:color w:val="auto"/>
          <w:sz w:val="32"/>
          <w:szCs w:val="32"/>
          <w:highlight w:val="none"/>
        </w:rPr>
        <w:t>，</w:t>
      </w:r>
      <w:r>
        <w:rPr>
          <w:rStyle w:val="17"/>
          <w:rFonts w:hint="eastAsia" w:ascii="仿宋_GB2312" w:hAnsi="仿宋" w:eastAsia="仿宋_GB2312" w:cs="仿宋"/>
          <w:bCs/>
          <w:color w:val="auto"/>
          <w:sz w:val="32"/>
          <w:szCs w:val="32"/>
        </w:rPr>
        <w:t>深入贯彻习近平总书记对广东重要讲话和重要指示批示精神，统筹推进“五位一体”总体布局，协调推进“四个全面”战略布局，贯彻省委省政府“1+1+9”工作部署</w:t>
      </w:r>
      <w:r>
        <w:rPr>
          <w:rStyle w:val="17"/>
          <w:rFonts w:hint="eastAsia" w:ascii="仿宋_GB2312" w:hAnsi="仿宋" w:eastAsia="仿宋_GB2312" w:cs="仿宋"/>
          <w:bCs/>
          <w:color w:val="auto"/>
          <w:sz w:val="32"/>
          <w:szCs w:val="32"/>
          <w:lang w:eastAsia="zh-CN"/>
        </w:rPr>
        <w:t>和市委、区委工作安排</w:t>
      </w:r>
      <w:r>
        <w:rPr>
          <w:rStyle w:val="17"/>
          <w:rFonts w:hint="eastAsia" w:ascii="仿宋_GB2312" w:hAnsi="仿宋" w:eastAsia="仿宋_GB2312" w:cs="仿宋"/>
          <w:bCs/>
          <w:color w:val="auto"/>
          <w:sz w:val="32"/>
          <w:szCs w:val="32"/>
        </w:rPr>
        <w:t>，坚持以人民为中心的发展思想，坚持新发展理念，坚持稳中求进工作总基调，以推动高质量发展为主题，以供给侧结构性改革为主线，以改革创新为根本动力，以满足人民日益增长的美好生活需要为根本目的，以“双区驱动”为战略引领，以人才为第一资源、民生为第一追求，</w:t>
      </w:r>
      <w:r>
        <w:rPr>
          <w:rStyle w:val="17"/>
          <w:rFonts w:hint="eastAsia" w:ascii="仿宋_GB2312" w:hAnsi="仿宋" w:eastAsia="仿宋_GB2312" w:cs="仿宋"/>
          <w:bCs/>
          <w:color w:val="auto"/>
          <w:sz w:val="32"/>
          <w:szCs w:val="32"/>
          <w:highlight w:val="none"/>
          <w:lang w:val="en-US" w:eastAsia="zh-CN"/>
        </w:rPr>
        <w:t>聚焦高质量发展、竞争力提升、现代化建设，</w:t>
      </w:r>
      <w:r>
        <w:rPr>
          <w:rStyle w:val="17"/>
          <w:rFonts w:hint="eastAsia" w:ascii="仿宋_GB2312" w:hAnsi="仿宋" w:eastAsia="仿宋_GB2312" w:cs="仿宋"/>
          <w:bCs/>
          <w:color w:val="auto"/>
          <w:sz w:val="32"/>
          <w:szCs w:val="32"/>
          <w:highlight w:val="none"/>
        </w:rPr>
        <w:t>抓重点、补短板、强弱项、防风险、稳预期，着力促进就业创业，深化社保制度改革，加强人事人才工作，构建和谐劳动关系，提升公共服务能力，全面建设民生保障新高地和人才集聚新高地，</w:t>
      </w:r>
      <w:r>
        <w:rPr>
          <w:rStyle w:val="17"/>
          <w:rFonts w:hint="eastAsia" w:ascii="仿宋_GB2312" w:hAnsi="仿宋" w:eastAsia="仿宋_GB2312" w:cs="仿宋"/>
          <w:bCs/>
          <w:color w:val="auto"/>
          <w:sz w:val="32"/>
          <w:szCs w:val="32"/>
        </w:rPr>
        <w:t>推动全</w:t>
      </w:r>
      <w:r>
        <w:rPr>
          <w:rStyle w:val="17"/>
          <w:rFonts w:hint="eastAsia" w:ascii="仿宋_GB2312" w:hAnsi="仿宋" w:eastAsia="仿宋_GB2312" w:cs="仿宋"/>
          <w:bCs/>
          <w:color w:val="auto"/>
          <w:sz w:val="32"/>
          <w:szCs w:val="32"/>
          <w:lang w:eastAsia="zh-CN"/>
        </w:rPr>
        <w:t>区</w:t>
      </w:r>
      <w:r>
        <w:rPr>
          <w:rStyle w:val="17"/>
          <w:rFonts w:hint="eastAsia" w:ascii="仿宋_GB2312" w:hAnsi="仿宋" w:eastAsia="仿宋_GB2312" w:cs="仿宋"/>
          <w:bCs/>
          <w:color w:val="auto"/>
          <w:sz w:val="32"/>
          <w:szCs w:val="32"/>
        </w:rPr>
        <w:t>人力资源社会保障事业高质量发展，为</w:t>
      </w:r>
      <w:r>
        <w:rPr>
          <w:rStyle w:val="17"/>
          <w:rFonts w:ascii="仿宋_GB2312" w:hAnsi="仿宋" w:eastAsia="仿宋_GB2312" w:cs="仿宋"/>
          <w:bCs/>
          <w:color w:val="auto"/>
          <w:sz w:val="32"/>
          <w:szCs w:val="32"/>
        </w:rPr>
        <w:t>汕尾奋力开启新征程、建设成为沿海经济带靓丽明珠</w:t>
      </w:r>
      <w:r>
        <w:rPr>
          <w:rStyle w:val="17"/>
          <w:rFonts w:hint="eastAsia" w:ascii="仿宋_GB2312" w:hAnsi="仿宋" w:eastAsia="仿宋_GB2312" w:cs="仿宋"/>
          <w:bCs/>
          <w:color w:val="auto"/>
          <w:sz w:val="32"/>
          <w:szCs w:val="32"/>
        </w:rPr>
        <w:t>作出新的更大贡献。</w:t>
      </w:r>
    </w:p>
    <w:p>
      <w:pPr>
        <w:pStyle w:val="4"/>
        <w:keepNext w:val="0"/>
        <w:keepLines w:val="0"/>
        <w:pageBreakBefore w:val="0"/>
        <w:kinsoku/>
        <w:wordWrap/>
        <w:overflowPunct/>
        <w:topLinePunct w:val="0"/>
        <w:autoSpaceDE/>
        <w:autoSpaceDN/>
        <w:bidi w:val="0"/>
        <w:adjustRightInd w:val="0"/>
        <w:snapToGrid w:val="0"/>
        <w:spacing w:before="120" w:beforeLines="50" w:after="120" w:afterLines="50" w:line="560" w:lineRule="exact"/>
        <w:ind w:left="200"/>
        <w:jc w:val="center"/>
        <w:rPr>
          <w:rFonts w:hint="eastAsia" w:ascii="Cambria" w:hAnsi="Cambria" w:eastAsia="楷体_GB2312"/>
          <w:color w:val="auto"/>
          <w:sz w:val="34"/>
        </w:rPr>
      </w:pPr>
      <w:bookmarkStart w:id="14" w:name="_Toc3932"/>
    </w:p>
    <w:p>
      <w:pPr>
        <w:pStyle w:val="4"/>
        <w:keepNext w:val="0"/>
        <w:keepLines w:val="0"/>
        <w:pageBreakBefore w:val="0"/>
        <w:kinsoku/>
        <w:wordWrap/>
        <w:overflowPunct/>
        <w:topLinePunct w:val="0"/>
        <w:autoSpaceDE/>
        <w:autoSpaceDN/>
        <w:bidi w:val="0"/>
        <w:adjustRightInd w:val="0"/>
        <w:snapToGrid w:val="0"/>
        <w:spacing w:before="120" w:beforeLines="50" w:after="120" w:afterLines="50" w:line="560" w:lineRule="exact"/>
        <w:ind w:left="200"/>
        <w:jc w:val="center"/>
        <w:rPr>
          <w:rFonts w:ascii="Cambria" w:hAnsi="Cambria" w:eastAsia="楷体_GB2312"/>
          <w:color w:val="auto"/>
          <w:sz w:val="34"/>
        </w:rPr>
      </w:pPr>
      <w:bookmarkStart w:id="15" w:name="_Toc20897"/>
      <w:r>
        <w:rPr>
          <w:rFonts w:hint="eastAsia" w:ascii="Cambria" w:hAnsi="Cambria" w:eastAsia="楷体_GB2312"/>
          <w:color w:val="auto"/>
          <w:sz w:val="34"/>
        </w:rPr>
        <w:t xml:space="preserve">第二节  </w:t>
      </w:r>
      <w:r>
        <w:rPr>
          <w:rFonts w:ascii="Cambria" w:hAnsi="Cambria" w:eastAsia="楷体_GB2312"/>
          <w:color w:val="auto"/>
          <w:sz w:val="34"/>
        </w:rPr>
        <w:t>基本原则</w:t>
      </w:r>
      <w:bookmarkEnd w:id="14"/>
      <w:bookmarkEnd w:id="15"/>
    </w:p>
    <w:p>
      <w:pPr>
        <w:keepLines w:val="0"/>
        <w:pageBreakBefore w:val="0"/>
        <w:kinsoku/>
        <w:wordWrap/>
        <w:overflowPunct/>
        <w:topLinePunct w:val="0"/>
        <w:autoSpaceDE/>
        <w:autoSpaceDN/>
        <w:bidi w:val="0"/>
        <w:adjustRightInd w:val="0"/>
        <w:snapToGrid w:val="0"/>
        <w:spacing w:line="560" w:lineRule="exact"/>
        <w:ind w:firstLine="643" w:firstLineChars="200"/>
        <w:rPr>
          <w:rStyle w:val="17"/>
          <w:rFonts w:ascii="仿宋_GB2312" w:hAnsi="仿宋" w:eastAsia="仿宋_GB2312" w:cs="仿宋"/>
          <w:bCs/>
          <w:color w:val="auto"/>
          <w:sz w:val="32"/>
          <w:szCs w:val="32"/>
        </w:rPr>
      </w:pPr>
      <w:r>
        <w:rPr>
          <w:rStyle w:val="17"/>
          <w:rFonts w:hint="eastAsia" w:ascii="仿宋_GB2312" w:hAnsi="仿宋" w:eastAsia="仿宋_GB2312" w:cs="仿宋"/>
          <w:b/>
          <w:bCs/>
          <w:color w:val="auto"/>
          <w:sz w:val="32"/>
          <w:szCs w:val="32"/>
        </w:rPr>
        <w:t>——坚持促发展与惠民生相统筹。</w:t>
      </w:r>
      <w:r>
        <w:rPr>
          <w:rStyle w:val="17"/>
          <w:rFonts w:hint="eastAsia" w:ascii="仿宋_GB2312" w:hAnsi="仿宋" w:eastAsia="仿宋_GB2312" w:cs="仿宋"/>
          <w:bCs/>
          <w:color w:val="auto"/>
          <w:sz w:val="32"/>
          <w:szCs w:val="32"/>
        </w:rPr>
        <w:t>坚持党的统一集中领导，增强“四个意识”，坚定“四个自信”，做到“两个维护”，紧紧抓住以人民为中心这个出发点和落脚点，增强改革创新精神，自觉融入全</w:t>
      </w:r>
      <w:r>
        <w:rPr>
          <w:rStyle w:val="17"/>
          <w:rFonts w:hint="eastAsia" w:ascii="仿宋_GB2312" w:hAnsi="仿宋" w:eastAsia="仿宋_GB2312" w:cs="仿宋"/>
          <w:bCs/>
          <w:color w:val="auto"/>
          <w:sz w:val="32"/>
          <w:szCs w:val="32"/>
          <w:lang w:eastAsia="zh-CN"/>
        </w:rPr>
        <w:t>区</w:t>
      </w:r>
      <w:r>
        <w:rPr>
          <w:rStyle w:val="17"/>
          <w:rFonts w:hint="eastAsia" w:ascii="仿宋_GB2312" w:hAnsi="仿宋" w:eastAsia="仿宋_GB2312" w:cs="仿宋"/>
          <w:bCs/>
          <w:color w:val="auto"/>
          <w:sz w:val="32"/>
          <w:szCs w:val="32"/>
        </w:rPr>
        <w:t>经济社会发展大局，不断强化人才对高质量发展的“前轮驱动”、民生对高质量发展的“后轮保障”功能，推动人力资源社会保障事业发展质量变革、效率变革、动力变革，以更高水平的民生保障稳定社会预期、解决群众后顾之忧，为</w:t>
      </w:r>
      <w:r>
        <w:rPr>
          <w:rStyle w:val="17"/>
          <w:rFonts w:hint="eastAsia" w:ascii="仿宋_GB2312" w:hAnsi="仿宋" w:eastAsia="仿宋_GB2312" w:cs="仿宋"/>
          <w:bCs/>
          <w:color w:val="auto"/>
          <w:sz w:val="32"/>
          <w:szCs w:val="32"/>
          <w:lang w:eastAsia="zh-CN"/>
        </w:rPr>
        <w:t>城区</w:t>
      </w:r>
      <w:r>
        <w:rPr>
          <w:rStyle w:val="17"/>
          <w:rFonts w:hint="eastAsia" w:ascii="仿宋_GB2312" w:hAnsi="仿宋" w:eastAsia="仿宋_GB2312" w:cs="仿宋"/>
          <w:bCs/>
          <w:color w:val="auto"/>
          <w:sz w:val="32"/>
          <w:szCs w:val="32"/>
        </w:rPr>
        <w:t>经济发展提供强大内生动力。</w:t>
      </w:r>
    </w:p>
    <w:p>
      <w:pPr>
        <w:keepLines w:val="0"/>
        <w:pageBreakBefore w:val="0"/>
        <w:kinsoku/>
        <w:wordWrap/>
        <w:overflowPunct/>
        <w:topLinePunct w:val="0"/>
        <w:autoSpaceDE/>
        <w:autoSpaceDN/>
        <w:bidi w:val="0"/>
        <w:adjustRightInd w:val="0"/>
        <w:snapToGrid w:val="0"/>
        <w:spacing w:line="560" w:lineRule="exact"/>
        <w:ind w:firstLine="643" w:firstLineChars="200"/>
        <w:rPr>
          <w:rStyle w:val="17"/>
          <w:rFonts w:ascii="仿宋_GB2312" w:hAnsi="仿宋" w:eastAsia="仿宋_GB2312" w:cs="仿宋"/>
          <w:bCs/>
          <w:sz w:val="32"/>
          <w:szCs w:val="32"/>
        </w:rPr>
      </w:pPr>
      <w:r>
        <w:rPr>
          <w:rStyle w:val="17"/>
          <w:rFonts w:hint="eastAsia" w:ascii="仿宋_GB2312" w:hAnsi="仿宋" w:eastAsia="仿宋_GB2312" w:cs="仿宋"/>
          <w:b/>
          <w:bCs/>
          <w:color w:val="auto"/>
          <w:sz w:val="32"/>
          <w:szCs w:val="32"/>
        </w:rPr>
        <w:t>——坚持尽力而为与量力而行相统一。</w:t>
      </w:r>
      <w:r>
        <w:rPr>
          <w:rStyle w:val="17"/>
          <w:rFonts w:hint="eastAsia" w:ascii="仿宋_GB2312" w:hAnsi="仿宋" w:eastAsia="仿宋_GB2312" w:cs="仿宋"/>
          <w:bCs/>
          <w:sz w:val="32"/>
          <w:szCs w:val="32"/>
        </w:rPr>
        <w:t>聚焦群众所急所需所盼的民生实事，强化普惠性、基础性、兜底性，综合考虑经济发展水平和财力可持续发展，合理安排财政资金支出规模和结构，精准施策，稳妥推进，切实维护好人民群众最关心最切身的就业创业、社会保障、收入分配等根本利益，使改革发展成果更多更公平惠及全体人民。</w:t>
      </w:r>
    </w:p>
    <w:p>
      <w:pPr>
        <w:keepLines w:val="0"/>
        <w:pageBreakBefore w:val="0"/>
        <w:kinsoku/>
        <w:wordWrap/>
        <w:overflowPunct/>
        <w:topLinePunct w:val="0"/>
        <w:autoSpaceDE/>
        <w:autoSpaceDN/>
        <w:bidi w:val="0"/>
        <w:adjustRightInd w:val="0"/>
        <w:snapToGrid w:val="0"/>
        <w:spacing w:line="560" w:lineRule="exact"/>
        <w:ind w:firstLine="643" w:firstLineChars="200"/>
        <w:rPr>
          <w:rStyle w:val="17"/>
          <w:rFonts w:ascii="仿宋_GB2312" w:hAnsi="仿宋" w:eastAsia="仿宋_GB2312" w:cs="仿宋"/>
          <w:bCs/>
          <w:color w:val="auto"/>
          <w:sz w:val="32"/>
          <w:szCs w:val="32"/>
        </w:rPr>
      </w:pPr>
      <w:r>
        <w:rPr>
          <w:rStyle w:val="17"/>
          <w:rFonts w:hint="eastAsia" w:ascii="仿宋_GB2312" w:hAnsi="仿宋" w:eastAsia="仿宋_GB2312" w:cs="仿宋"/>
          <w:b/>
          <w:bCs/>
          <w:color w:val="auto"/>
          <w:sz w:val="32"/>
          <w:szCs w:val="32"/>
        </w:rPr>
        <w:t>——坚持有效市场和有为政府相协调。</w:t>
      </w:r>
      <w:r>
        <w:rPr>
          <w:rStyle w:val="17"/>
          <w:rFonts w:hint="eastAsia" w:ascii="仿宋_GB2312" w:hAnsi="仿宋" w:eastAsia="仿宋_GB2312" w:cs="仿宋"/>
          <w:bCs/>
          <w:color w:val="auto"/>
          <w:sz w:val="32"/>
          <w:szCs w:val="32"/>
        </w:rPr>
        <w:t>妥善处理政府和市场的关系，充分发挥市场在资源配置中的决定性作用，激发市场活力和社会创造力，深化体制机制改革创新，持续推进“放管服”改革，加强人力资源社会保障行风建设，提高人力资源要素配置效率和民生保障水平。</w:t>
      </w:r>
    </w:p>
    <w:p>
      <w:pPr>
        <w:keepLines w:val="0"/>
        <w:pageBreakBefore w:val="0"/>
        <w:kinsoku/>
        <w:wordWrap/>
        <w:overflowPunct/>
        <w:topLinePunct w:val="0"/>
        <w:autoSpaceDE/>
        <w:autoSpaceDN/>
        <w:bidi w:val="0"/>
        <w:adjustRightInd w:val="0"/>
        <w:snapToGrid w:val="0"/>
        <w:spacing w:line="560" w:lineRule="exact"/>
        <w:ind w:firstLine="640" w:firstLineChars="200"/>
        <w:rPr>
          <w:rStyle w:val="17"/>
          <w:rFonts w:hint="eastAsia" w:ascii="仿宋_GB2312" w:hAnsi="仿宋" w:eastAsia="仿宋_GB2312" w:cs="仿宋"/>
          <w:bCs/>
          <w:color w:val="auto"/>
          <w:sz w:val="32"/>
          <w:szCs w:val="32"/>
        </w:rPr>
      </w:pPr>
      <w:r>
        <w:rPr>
          <w:rStyle w:val="17"/>
          <w:rFonts w:ascii="仿宋_GB2312" w:hAnsi="仿宋" w:eastAsia="仿宋_GB2312" w:cs="仿宋"/>
          <w:bCs/>
          <w:color w:val="auto"/>
          <w:sz w:val="32"/>
          <w:szCs w:val="32"/>
        </w:rPr>
        <w:softHyphen/>
      </w:r>
      <w:r>
        <w:rPr>
          <w:rStyle w:val="17"/>
          <w:rFonts w:ascii="仿宋_GB2312" w:hAnsi="仿宋" w:eastAsia="仿宋_GB2312" w:cs="仿宋"/>
          <w:b/>
          <w:bCs/>
          <w:color w:val="auto"/>
          <w:sz w:val="32"/>
          <w:szCs w:val="32"/>
        </w:rPr>
        <w:t>——</w:t>
      </w:r>
      <w:r>
        <w:rPr>
          <w:rStyle w:val="17"/>
          <w:rFonts w:hint="eastAsia" w:ascii="仿宋_GB2312" w:hAnsi="仿宋" w:eastAsia="仿宋_GB2312" w:cs="仿宋"/>
          <w:b/>
          <w:bCs/>
          <w:color w:val="auto"/>
          <w:sz w:val="32"/>
          <w:szCs w:val="32"/>
        </w:rPr>
        <w:t>坚持系统推进与重点突破相统一。</w:t>
      </w:r>
      <w:r>
        <w:rPr>
          <w:rStyle w:val="17"/>
          <w:rFonts w:hint="eastAsia" w:ascii="仿宋_GB2312" w:hAnsi="仿宋" w:eastAsia="仿宋_GB2312" w:cs="仿宋"/>
          <w:bCs/>
          <w:color w:val="auto"/>
          <w:sz w:val="32"/>
          <w:szCs w:val="32"/>
        </w:rPr>
        <w:t>坚持系统观念，加强前瞻性思考、全局性谋划、战略性布局、整体性推进，坚持市</w:t>
      </w:r>
      <w:r>
        <w:rPr>
          <w:rStyle w:val="17"/>
          <w:rFonts w:hint="eastAsia" w:ascii="仿宋_GB2312" w:hAnsi="仿宋" w:eastAsia="仿宋_GB2312" w:cs="仿宋"/>
          <w:bCs/>
          <w:color w:val="auto"/>
          <w:sz w:val="32"/>
          <w:szCs w:val="32"/>
          <w:lang w:eastAsia="zh-CN"/>
        </w:rPr>
        <w:t>区</w:t>
      </w:r>
      <w:r>
        <w:rPr>
          <w:rStyle w:val="17"/>
          <w:rFonts w:hint="eastAsia" w:ascii="仿宋_GB2312" w:hAnsi="仿宋" w:eastAsia="仿宋_GB2312" w:cs="仿宋"/>
          <w:bCs/>
          <w:color w:val="auto"/>
          <w:sz w:val="32"/>
          <w:szCs w:val="32"/>
        </w:rPr>
        <w:t>一盘棋，更好发挥各方面积极性，着力固根基、扬优势、补短板、强弱项，注重防范化解重大风险挑战，实现发展质量、结构、规模、效益、安全相统一。聚焦重点领域、关键环节，找准改革突破口和发力点，集中力量逐个攻坚突破，以点带面带动全局发展。</w:t>
      </w:r>
    </w:p>
    <w:p>
      <w:pPr>
        <w:pStyle w:val="2"/>
      </w:pPr>
    </w:p>
    <w:p>
      <w:pPr>
        <w:pStyle w:val="4"/>
        <w:keepNext w:val="0"/>
        <w:keepLines w:val="0"/>
        <w:pageBreakBefore w:val="0"/>
        <w:kinsoku/>
        <w:wordWrap/>
        <w:overflowPunct/>
        <w:topLinePunct w:val="0"/>
        <w:autoSpaceDE/>
        <w:autoSpaceDN/>
        <w:bidi w:val="0"/>
        <w:adjustRightInd w:val="0"/>
        <w:snapToGrid w:val="0"/>
        <w:spacing w:before="120" w:beforeLines="50" w:after="120" w:afterLines="50" w:line="560" w:lineRule="exact"/>
        <w:ind w:left="200"/>
        <w:jc w:val="center"/>
        <w:rPr>
          <w:rFonts w:ascii="Cambria" w:hAnsi="Cambria" w:eastAsia="楷体_GB2312"/>
          <w:color w:val="auto"/>
          <w:sz w:val="34"/>
        </w:rPr>
      </w:pPr>
      <w:bookmarkStart w:id="16" w:name="_Toc27571"/>
      <w:bookmarkStart w:id="17" w:name="_Toc18889"/>
      <w:r>
        <w:rPr>
          <w:rFonts w:hint="eastAsia" w:ascii="Cambria" w:hAnsi="Cambria" w:eastAsia="楷体_GB2312"/>
          <w:color w:val="auto"/>
          <w:sz w:val="34"/>
        </w:rPr>
        <w:t>第三节  主要</w:t>
      </w:r>
      <w:r>
        <w:rPr>
          <w:rFonts w:ascii="Cambria" w:hAnsi="Cambria" w:eastAsia="楷体_GB2312"/>
          <w:color w:val="auto"/>
          <w:sz w:val="34"/>
        </w:rPr>
        <w:t>目标</w:t>
      </w:r>
      <w:bookmarkEnd w:id="16"/>
      <w:bookmarkEnd w:id="17"/>
    </w:p>
    <w:p>
      <w:pPr>
        <w:keepNext w:val="0"/>
        <w:keepLines w:val="0"/>
        <w:pageBreakBefore w:val="0"/>
        <w:widowControl w:val="0"/>
        <w:kinsoku/>
        <w:wordWrap/>
        <w:overflowPunct/>
        <w:topLinePunct w:val="0"/>
        <w:autoSpaceDE/>
        <w:autoSpaceDN/>
        <w:bidi w:val="0"/>
        <w:adjustRightInd w:val="0"/>
        <w:snapToGrid w:val="0"/>
        <w:spacing w:line="620" w:lineRule="exact"/>
        <w:ind w:firstLine="640" w:firstLineChars="200"/>
        <w:textAlignment w:val="auto"/>
        <w:outlineLvl w:val="9"/>
        <w:rPr>
          <w:rStyle w:val="17"/>
          <w:rFonts w:ascii="仿宋_GB2312" w:hAnsi="仿宋" w:eastAsia="仿宋_GB2312" w:cs="仿宋"/>
          <w:bCs/>
          <w:color w:val="auto"/>
          <w:sz w:val="32"/>
          <w:szCs w:val="32"/>
        </w:rPr>
      </w:pPr>
      <w:r>
        <w:rPr>
          <w:rStyle w:val="17"/>
          <w:rFonts w:hint="eastAsia" w:ascii="仿宋_GB2312" w:hAnsi="仿宋" w:eastAsia="仿宋_GB2312" w:cs="仿宋"/>
          <w:bCs/>
          <w:color w:val="auto"/>
          <w:sz w:val="32"/>
          <w:szCs w:val="32"/>
        </w:rPr>
        <w:t>到2025年，推动高质量发展的人力资源社会保障制度体系更加成熟完善</w:t>
      </w:r>
      <w:r>
        <w:rPr>
          <w:rStyle w:val="17"/>
          <w:rFonts w:hint="eastAsia" w:ascii="仿宋_GB2312" w:hAnsi="仿宋_GB2312" w:eastAsia="仿宋_GB2312" w:cs="仿宋_GB2312"/>
          <w:bCs/>
          <w:color w:val="auto"/>
          <w:sz w:val="32"/>
          <w:szCs w:val="32"/>
          <w:highlight w:val="none"/>
        </w:rPr>
        <w:t>，</w:t>
      </w:r>
      <w:r>
        <w:rPr>
          <w:rStyle w:val="17"/>
          <w:rFonts w:hint="eastAsia" w:ascii="仿宋_GB2312" w:hAnsi="仿宋_GB2312" w:eastAsia="仿宋_GB2312" w:cs="仿宋_GB2312"/>
          <w:bCs/>
          <w:color w:val="auto"/>
          <w:sz w:val="32"/>
          <w:szCs w:val="32"/>
          <w:highlight w:val="none"/>
          <w:lang w:val="en-US" w:eastAsia="zh-CN"/>
        </w:rPr>
        <w:t>公共就业创业服务体系建成，</w:t>
      </w:r>
      <w:r>
        <w:rPr>
          <w:rFonts w:hint="eastAsia" w:ascii="仿宋_GB2312" w:hAnsi="仿宋_GB2312" w:eastAsia="仿宋_GB2312" w:cs="仿宋_GB2312"/>
          <w:b w:val="0"/>
          <w:bCs w:val="0"/>
          <w:color w:val="auto"/>
          <w:sz w:val="32"/>
          <w:szCs w:val="32"/>
          <w:highlight w:val="none"/>
        </w:rPr>
        <w:t>创业带动</w:t>
      </w:r>
      <w:r>
        <w:rPr>
          <w:rFonts w:hint="eastAsia" w:ascii="仿宋_GB2312" w:hAnsi="仿宋_GB2312" w:eastAsia="仿宋_GB2312" w:cs="仿宋_GB2312"/>
          <w:b w:val="0"/>
          <w:bCs w:val="0"/>
          <w:color w:val="auto"/>
          <w:sz w:val="32"/>
          <w:szCs w:val="32"/>
          <w:highlight w:val="none"/>
          <w:lang w:val="en-US" w:eastAsia="zh-CN"/>
        </w:rPr>
        <w:t>就业</w:t>
      </w:r>
      <w:r>
        <w:rPr>
          <w:rFonts w:hint="eastAsia" w:ascii="仿宋_GB2312" w:hAnsi="仿宋_GB2312" w:eastAsia="仿宋_GB2312" w:cs="仿宋_GB2312"/>
          <w:b w:val="0"/>
          <w:bCs w:val="0"/>
          <w:color w:val="auto"/>
          <w:sz w:val="32"/>
          <w:szCs w:val="32"/>
          <w:highlight w:val="none"/>
        </w:rPr>
        <w:t>作用</w:t>
      </w:r>
      <w:r>
        <w:rPr>
          <w:rFonts w:hint="eastAsia" w:ascii="仿宋_GB2312" w:hAnsi="仿宋_GB2312" w:eastAsia="仿宋_GB2312" w:cs="仿宋_GB2312"/>
          <w:b w:val="0"/>
          <w:bCs w:val="0"/>
          <w:color w:val="auto"/>
          <w:sz w:val="32"/>
          <w:szCs w:val="32"/>
          <w:highlight w:val="none"/>
          <w:lang w:val="en-US" w:eastAsia="zh-CN"/>
        </w:rPr>
        <w:t>显著</w:t>
      </w:r>
      <w:r>
        <w:rPr>
          <w:rFonts w:hint="eastAsia" w:ascii="仿宋_GB2312" w:hAnsi="仿宋_GB2312" w:eastAsia="仿宋_GB2312" w:cs="仿宋_GB2312"/>
          <w:b w:val="0"/>
          <w:bCs w:val="0"/>
          <w:color w:val="auto"/>
          <w:sz w:val="32"/>
          <w:szCs w:val="32"/>
          <w:highlight w:val="none"/>
          <w:lang w:eastAsia="zh-CN"/>
        </w:rPr>
        <w:t>，</w:t>
      </w:r>
      <w:r>
        <w:rPr>
          <w:rStyle w:val="17"/>
          <w:rFonts w:hint="eastAsia" w:ascii="仿宋_GB2312" w:hAnsi="仿宋_GB2312" w:eastAsia="仿宋_GB2312" w:cs="仿宋_GB2312"/>
          <w:bCs/>
          <w:color w:val="auto"/>
          <w:sz w:val="32"/>
          <w:szCs w:val="32"/>
          <w:highlight w:val="none"/>
          <w:lang w:val="en-US" w:eastAsia="zh-CN"/>
        </w:rPr>
        <w:t>劳动关系更加和谐，</w:t>
      </w:r>
      <w:r>
        <w:rPr>
          <w:rStyle w:val="17"/>
          <w:rFonts w:hint="eastAsia" w:ascii="仿宋_GB2312" w:hAnsi="仿宋_GB2312" w:eastAsia="仿宋_GB2312" w:cs="仿宋_GB2312"/>
          <w:bCs/>
          <w:color w:val="auto"/>
          <w:sz w:val="32"/>
          <w:szCs w:val="32"/>
          <w:highlight w:val="none"/>
        </w:rPr>
        <w:t>人力资源要素自主有序流动，城乡区域差距明显缩小，公共服务水平更趋均衡，实现“劳有乐业、才有优用、技有专长、老有颐养”，民生保障新高地和人才集聚新高地全面建成。</w:t>
      </w:r>
    </w:p>
    <w:p>
      <w:pPr>
        <w:keepLines w:val="0"/>
        <w:pageBreakBefore w:val="0"/>
        <w:kinsoku/>
        <w:wordWrap/>
        <w:overflowPunct/>
        <w:topLinePunct w:val="0"/>
        <w:autoSpaceDE/>
        <w:autoSpaceDN/>
        <w:bidi w:val="0"/>
        <w:adjustRightInd w:val="0"/>
        <w:snapToGrid w:val="0"/>
        <w:spacing w:line="560" w:lineRule="exact"/>
        <w:ind w:firstLine="643" w:firstLineChars="200"/>
        <w:rPr>
          <w:rStyle w:val="17"/>
          <w:rFonts w:ascii="仿宋_GB2312" w:hAnsi="仿宋" w:eastAsia="仿宋_GB2312" w:cs="仿宋"/>
          <w:bCs/>
          <w:color w:val="auto"/>
          <w:sz w:val="32"/>
          <w:szCs w:val="32"/>
        </w:rPr>
      </w:pPr>
      <w:r>
        <w:rPr>
          <w:rStyle w:val="17"/>
          <w:rFonts w:hint="eastAsia" w:ascii="仿宋_GB2312" w:hAnsi="仿宋" w:eastAsia="仿宋_GB2312" w:cs="仿宋"/>
          <w:b/>
          <w:color w:val="auto"/>
          <w:sz w:val="32"/>
          <w:szCs w:val="32"/>
        </w:rPr>
        <w:t>——实现更充分更高质量就业。</w:t>
      </w:r>
      <w:r>
        <w:rPr>
          <w:rStyle w:val="17"/>
          <w:rFonts w:hint="eastAsia" w:ascii="仿宋_GB2312" w:hAnsi="仿宋" w:eastAsia="仿宋_GB2312" w:cs="仿宋"/>
          <w:bCs/>
          <w:color w:val="auto"/>
          <w:sz w:val="32"/>
          <w:szCs w:val="32"/>
        </w:rPr>
        <w:t>就业优先政策全面强化，就业政策与经济社会发展宏观政策联动更加紧密，多渠道就业促进机制更加健全，创新创业引领作用更加凸显，就业规模持续稳定，就业结构不断改善，就业质量进一步提升，全方位公共就业创业服务体系全面建成，就业局势总体平稳。“十四五”期间实现城镇新增就业</w:t>
      </w:r>
      <w:r>
        <w:rPr>
          <w:rStyle w:val="17"/>
          <w:rFonts w:hint="eastAsia" w:ascii="仿宋_GB2312" w:hAnsi="仿宋" w:eastAsia="仿宋_GB2312" w:cs="仿宋"/>
          <w:bCs/>
          <w:color w:val="auto"/>
          <w:sz w:val="32"/>
          <w:szCs w:val="32"/>
          <w:lang w:val="en-US" w:eastAsia="zh-CN"/>
        </w:rPr>
        <w:t>2.5</w:t>
      </w:r>
      <w:r>
        <w:rPr>
          <w:rStyle w:val="17"/>
          <w:rFonts w:hint="eastAsia" w:ascii="仿宋_GB2312" w:hAnsi="仿宋" w:eastAsia="仿宋_GB2312" w:cs="仿宋"/>
          <w:bCs/>
          <w:color w:val="auto"/>
          <w:sz w:val="32"/>
          <w:szCs w:val="32"/>
        </w:rPr>
        <w:t>万人以上，城镇登记失业率控制在3.0%以内。每年促进创业带动就业2000人</w:t>
      </w:r>
      <w:r>
        <w:rPr>
          <w:rStyle w:val="17"/>
          <w:rFonts w:hint="eastAsia" w:ascii="仿宋_GB2312" w:hAnsi="仿宋" w:eastAsia="仿宋_GB2312" w:cs="仿宋"/>
          <w:bCs/>
          <w:color w:val="auto"/>
          <w:sz w:val="32"/>
          <w:szCs w:val="32"/>
          <w:lang w:eastAsia="zh-CN"/>
        </w:rPr>
        <w:t>以上</w:t>
      </w:r>
      <w:r>
        <w:rPr>
          <w:rStyle w:val="17"/>
          <w:rFonts w:hint="eastAsia" w:ascii="仿宋_GB2312" w:hAnsi="仿宋" w:eastAsia="仿宋_GB2312" w:cs="仿宋"/>
          <w:bCs/>
          <w:color w:val="auto"/>
          <w:sz w:val="32"/>
          <w:szCs w:val="32"/>
        </w:rPr>
        <w:t>，高校毕业生就业率达90%</w:t>
      </w:r>
      <w:r>
        <w:rPr>
          <w:rStyle w:val="17"/>
          <w:rFonts w:hint="eastAsia" w:ascii="仿宋_GB2312" w:hAnsi="仿宋" w:eastAsia="仿宋_GB2312" w:cs="仿宋"/>
          <w:bCs/>
          <w:color w:val="auto"/>
          <w:sz w:val="32"/>
          <w:szCs w:val="32"/>
          <w:lang w:val="en-US" w:eastAsia="zh-CN"/>
        </w:rPr>
        <w:t>以上</w:t>
      </w:r>
      <w:r>
        <w:rPr>
          <w:rStyle w:val="17"/>
          <w:rFonts w:hint="eastAsia" w:ascii="仿宋_GB2312" w:hAnsi="仿宋" w:eastAsia="仿宋_GB2312" w:cs="仿宋"/>
          <w:bCs/>
          <w:color w:val="auto"/>
          <w:sz w:val="32"/>
          <w:szCs w:val="32"/>
        </w:rPr>
        <w:t>。创建</w:t>
      </w:r>
      <w:r>
        <w:rPr>
          <w:rStyle w:val="17"/>
          <w:rFonts w:hint="eastAsia" w:ascii="仿宋_GB2312" w:hAnsi="仿宋" w:eastAsia="仿宋_GB2312" w:cs="仿宋"/>
          <w:bCs/>
          <w:color w:val="auto"/>
          <w:sz w:val="32"/>
          <w:szCs w:val="32"/>
          <w:lang w:val="en-US" w:eastAsia="zh-CN"/>
        </w:rPr>
        <w:t>1-2</w:t>
      </w:r>
      <w:r>
        <w:rPr>
          <w:rStyle w:val="17"/>
          <w:rFonts w:hint="eastAsia" w:ascii="仿宋_GB2312" w:hAnsi="仿宋" w:eastAsia="仿宋_GB2312" w:cs="仿宋"/>
          <w:bCs/>
          <w:color w:val="auto"/>
          <w:sz w:val="32"/>
          <w:szCs w:val="32"/>
        </w:rPr>
        <w:t>家创新创业孵化基地</w:t>
      </w:r>
      <w:r>
        <w:rPr>
          <w:rStyle w:val="17"/>
          <w:rFonts w:hint="eastAsia" w:ascii="仿宋_GB2312" w:hAnsi="仿宋" w:eastAsia="仿宋_GB2312" w:cs="仿宋"/>
          <w:bCs/>
          <w:color w:val="auto"/>
          <w:sz w:val="32"/>
          <w:szCs w:val="32"/>
          <w:lang w:val="en-US" w:eastAsia="zh-CN"/>
        </w:rPr>
        <w:t>、1个“南粤家政”基层家政服务</w:t>
      </w:r>
      <w:r>
        <w:rPr>
          <w:rStyle w:val="17"/>
          <w:rFonts w:hint="eastAsia" w:ascii="仿宋_GB2312" w:hAnsi="仿宋" w:eastAsia="仿宋_GB2312" w:cs="仿宋"/>
          <w:b w:val="0"/>
          <w:bCs/>
          <w:color w:val="auto"/>
          <w:sz w:val="32"/>
          <w:szCs w:val="32"/>
          <w:lang w:val="en-US" w:eastAsia="zh-CN"/>
        </w:rPr>
        <w:t>示范</w:t>
      </w:r>
      <w:r>
        <w:rPr>
          <w:rStyle w:val="17"/>
          <w:rFonts w:hint="eastAsia" w:ascii="仿宋_GB2312" w:hAnsi="仿宋" w:eastAsia="仿宋_GB2312" w:cs="仿宋"/>
          <w:bCs/>
          <w:color w:val="auto"/>
          <w:sz w:val="32"/>
          <w:szCs w:val="32"/>
          <w:lang w:val="en-US" w:eastAsia="zh-CN"/>
        </w:rPr>
        <w:t>站，</w:t>
      </w:r>
      <w:r>
        <w:rPr>
          <w:rStyle w:val="17"/>
          <w:rFonts w:hint="eastAsia" w:ascii="仿宋_GB2312" w:hAnsi="仿宋" w:eastAsia="仿宋_GB2312" w:cs="仿宋"/>
          <w:bCs/>
          <w:color w:val="auto"/>
          <w:sz w:val="32"/>
          <w:szCs w:val="32"/>
        </w:rPr>
        <w:t>建立和完善</w:t>
      </w:r>
      <w:r>
        <w:rPr>
          <w:rStyle w:val="17"/>
          <w:rFonts w:hint="eastAsia" w:ascii="仿宋_GB2312" w:hAnsi="仿宋" w:eastAsia="仿宋_GB2312" w:cs="仿宋"/>
          <w:bCs/>
          <w:color w:val="auto"/>
          <w:sz w:val="32"/>
          <w:szCs w:val="32"/>
          <w:lang w:eastAsia="zh-CN"/>
        </w:rPr>
        <w:t>城区</w:t>
      </w:r>
      <w:r>
        <w:rPr>
          <w:rStyle w:val="17"/>
          <w:rFonts w:hint="eastAsia" w:ascii="仿宋_GB2312" w:hAnsi="仿宋" w:eastAsia="仿宋_GB2312" w:cs="仿宋"/>
          <w:bCs/>
          <w:color w:val="auto"/>
          <w:sz w:val="32"/>
          <w:szCs w:val="32"/>
        </w:rPr>
        <w:t>人力资源市场，全方位公共就业创业服务体系逐步建成，就业社会化</w:t>
      </w:r>
      <w:r>
        <w:rPr>
          <w:rStyle w:val="17"/>
          <w:rFonts w:hint="eastAsia" w:ascii="仿宋_GB2312" w:eastAsia="仿宋_GB2312"/>
          <w:bCs/>
          <w:color w:val="auto"/>
          <w:sz w:val="32"/>
          <w:szCs w:val="32"/>
        </w:rPr>
        <w:t>、市场化水平更高。</w:t>
      </w:r>
    </w:p>
    <w:p>
      <w:pPr>
        <w:keepLines w:val="0"/>
        <w:pageBreakBefore w:val="0"/>
        <w:kinsoku/>
        <w:wordWrap/>
        <w:overflowPunct/>
        <w:topLinePunct w:val="0"/>
        <w:autoSpaceDE/>
        <w:autoSpaceDN/>
        <w:bidi w:val="0"/>
        <w:adjustRightInd w:val="0"/>
        <w:snapToGrid w:val="0"/>
        <w:spacing w:line="560" w:lineRule="exact"/>
        <w:ind w:firstLine="643" w:firstLineChars="200"/>
        <w:rPr>
          <w:rStyle w:val="17"/>
          <w:rFonts w:ascii="仿宋_GB2312" w:hAnsi="仿宋" w:eastAsia="仿宋_GB2312" w:cs="仿宋"/>
          <w:bCs/>
          <w:color w:val="auto"/>
          <w:sz w:val="32"/>
          <w:szCs w:val="32"/>
        </w:rPr>
      </w:pPr>
      <w:r>
        <w:rPr>
          <w:rStyle w:val="17"/>
          <w:rFonts w:hint="eastAsia" w:ascii="仿宋_GB2312" w:hAnsi="仿宋" w:eastAsia="仿宋_GB2312" w:cs="仿宋"/>
          <w:b/>
          <w:color w:val="auto"/>
          <w:sz w:val="32"/>
          <w:szCs w:val="32"/>
        </w:rPr>
        <w:t>——覆盖全民的社会保障体系更加完善。</w:t>
      </w:r>
      <w:r>
        <w:rPr>
          <w:rStyle w:val="17"/>
          <w:rFonts w:hint="eastAsia" w:hAnsi="仿宋" w:eastAsia="仿宋_GB2312" w:cs="仿宋"/>
          <w:color w:val="auto"/>
          <w:sz w:val="32"/>
          <w:szCs w:val="32"/>
        </w:rPr>
        <w:t>养老、失业、工伤保险实现应保尽保，参保缴费质量显著提高。社</w:t>
      </w:r>
      <w:r>
        <w:rPr>
          <w:rStyle w:val="17"/>
          <w:rFonts w:hint="eastAsia" w:hAnsi="仿宋" w:eastAsia="仿宋_GB2312" w:cs="仿宋"/>
          <w:bCs/>
          <w:color w:val="auto"/>
          <w:sz w:val="32"/>
          <w:szCs w:val="32"/>
        </w:rPr>
        <w:t>会保险制度改革</w:t>
      </w:r>
      <w:r>
        <w:rPr>
          <w:rStyle w:val="17"/>
          <w:rFonts w:hint="eastAsia" w:hAnsi="仿宋" w:eastAsia="仿宋_GB2312" w:cs="仿宋"/>
          <w:color w:val="auto"/>
          <w:sz w:val="32"/>
          <w:szCs w:val="32"/>
        </w:rPr>
        <w:t>全面推进</w:t>
      </w:r>
      <w:r>
        <w:rPr>
          <w:rStyle w:val="17"/>
          <w:rFonts w:hint="eastAsia" w:hAnsi="仿宋" w:eastAsia="仿宋_GB2312" w:cs="仿宋"/>
          <w:bCs/>
          <w:color w:val="auto"/>
          <w:sz w:val="32"/>
          <w:szCs w:val="32"/>
        </w:rPr>
        <w:t>，统筹层次不断提高，多层次的社会保障体系日益健全。社保待遇确定和调整机制更加健全，城乡、区域、群体间保障水平合理衔接。社会保险基金运行安全可持续。“十四五”期末，</w:t>
      </w:r>
      <w:r>
        <w:rPr>
          <w:rStyle w:val="17"/>
          <w:rFonts w:hint="eastAsia" w:ascii="仿宋_GB2312" w:hAnsi="仿宋" w:eastAsia="仿宋_GB2312" w:cs="仿宋"/>
          <w:bCs/>
          <w:color w:val="auto"/>
          <w:sz w:val="32"/>
          <w:szCs w:val="32"/>
        </w:rPr>
        <w:t>全</w:t>
      </w:r>
      <w:r>
        <w:rPr>
          <w:rStyle w:val="17"/>
          <w:rFonts w:hint="eastAsia" w:ascii="仿宋_GB2312" w:hAnsi="仿宋" w:eastAsia="仿宋_GB2312" w:cs="仿宋"/>
          <w:bCs/>
          <w:color w:val="auto"/>
          <w:sz w:val="32"/>
          <w:szCs w:val="32"/>
          <w:lang w:eastAsia="zh-CN"/>
        </w:rPr>
        <w:t>区</w:t>
      </w:r>
      <w:r>
        <w:rPr>
          <w:rStyle w:val="17"/>
          <w:rFonts w:hint="eastAsia" w:ascii="仿宋_GB2312" w:hAnsi="仿宋" w:eastAsia="仿宋_GB2312" w:cs="仿宋"/>
          <w:bCs/>
          <w:color w:val="auto"/>
          <w:sz w:val="32"/>
          <w:szCs w:val="32"/>
        </w:rPr>
        <w:t>城镇职工基本养老保险、城乡居民基本养老保险、失业保险、工伤保险参保人数分别达到</w:t>
      </w:r>
      <w:r>
        <w:rPr>
          <w:rStyle w:val="17"/>
          <w:rFonts w:hint="eastAsia" w:ascii="仿宋_GB2312" w:eastAsia="仿宋_GB2312" w:cs="仿宋"/>
          <w:color w:val="auto"/>
          <w:sz w:val="32"/>
          <w:szCs w:val="32"/>
          <w:lang w:val="en-US" w:eastAsia="zh-CN"/>
        </w:rPr>
        <w:t>3.23</w:t>
      </w:r>
      <w:r>
        <w:rPr>
          <w:rStyle w:val="17"/>
          <w:rFonts w:hint="eastAsia" w:ascii="仿宋_GB2312" w:eastAsia="仿宋_GB2312" w:cs="仿宋"/>
          <w:color w:val="auto"/>
          <w:sz w:val="32"/>
          <w:szCs w:val="32"/>
        </w:rPr>
        <w:t>万人、1</w:t>
      </w:r>
      <w:r>
        <w:rPr>
          <w:rStyle w:val="17"/>
          <w:rFonts w:hint="eastAsia" w:ascii="仿宋_GB2312" w:eastAsia="仿宋_GB2312" w:cs="仿宋"/>
          <w:color w:val="auto"/>
          <w:sz w:val="32"/>
          <w:szCs w:val="32"/>
          <w:lang w:val="en-US" w:eastAsia="zh-CN"/>
        </w:rPr>
        <w:t>1</w:t>
      </w:r>
      <w:r>
        <w:rPr>
          <w:rStyle w:val="17"/>
          <w:rFonts w:hint="eastAsia" w:ascii="仿宋_GB2312" w:eastAsia="仿宋_GB2312" w:cs="仿宋"/>
          <w:color w:val="auto"/>
          <w:sz w:val="32"/>
          <w:szCs w:val="32"/>
        </w:rPr>
        <w:t>万人、</w:t>
      </w:r>
      <w:r>
        <w:rPr>
          <w:rStyle w:val="17"/>
          <w:rFonts w:hint="eastAsia" w:ascii="仿宋_GB2312" w:eastAsia="仿宋_GB2312" w:cs="仿宋"/>
          <w:color w:val="auto"/>
          <w:sz w:val="32"/>
          <w:szCs w:val="32"/>
          <w:lang w:val="en-US" w:eastAsia="zh-CN"/>
        </w:rPr>
        <w:t>0</w:t>
      </w:r>
      <w:r>
        <w:rPr>
          <w:rStyle w:val="17"/>
          <w:rFonts w:hint="eastAsia" w:ascii="仿宋_GB2312" w:eastAsia="仿宋_GB2312" w:cs="仿宋"/>
          <w:color w:val="auto"/>
          <w:sz w:val="32"/>
          <w:szCs w:val="32"/>
        </w:rPr>
        <w:t>.</w:t>
      </w:r>
      <w:r>
        <w:rPr>
          <w:rStyle w:val="17"/>
          <w:rFonts w:hint="eastAsia" w:ascii="仿宋_GB2312" w:eastAsia="仿宋_GB2312" w:cs="仿宋"/>
          <w:color w:val="auto"/>
          <w:sz w:val="32"/>
          <w:szCs w:val="32"/>
          <w:lang w:val="en-US" w:eastAsia="zh-CN"/>
        </w:rPr>
        <w:t>94</w:t>
      </w:r>
      <w:r>
        <w:rPr>
          <w:rStyle w:val="17"/>
          <w:rFonts w:hint="eastAsia" w:ascii="仿宋_GB2312" w:eastAsia="仿宋_GB2312" w:cs="仿宋"/>
          <w:color w:val="auto"/>
          <w:sz w:val="32"/>
          <w:szCs w:val="32"/>
        </w:rPr>
        <w:t>万人、1.</w:t>
      </w:r>
      <w:r>
        <w:rPr>
          <w:rStyle w:val="17"/>
          <w:rFonts w:hint="eastAsia" w:ascii="仿宋_GB2312" w:eastAsia="仿宋_GB2312" w:cs="仿宋"/>
          <w:color w:val="auto"/>
          <w:sz w:val="32"/>
          <w:szCs w:val="32"/>
          <w:lang w:val="en-US" w:eastAsia="zh-CN"/>
        </w:rPr>
        <w:t>56</w:t>
      </w:r>
      <w:r>
        <w:rPr>
          <w:rStyle w:val="17"/>
          <w:rFonts w:hint="eastAsia" w:ascii="仿宋_GB2312" w:eastAsia="仿宋_GB2312" w:cs="仿宋"/>
          <w:color w:val="auto"/>
          <w:sz w:val="32"/>
          <w:szCs w:val="32"/>
        </w:rPr>
        <w:t>万人</w:t>
      </w:r>
      <w:r>
        <w:rPr>
          <w:rStyle w:val="17"/>
          <w:rFonts w:hint="eastAsia" w:ascii="仿宋_GB2312" w:hAnsi="仿宋" w:eastAsia="仿宋_GB2312" w:cs="仿宋"/>
          <w:bCs/>
          <w:color w:val="auto"/>
          <w:sz w:val="32"/>
          <w:szCs w:val="32"/>
        </w:rPr>
        <w:t>。</w:t>
      </w:r>
    </w:p>
    <w:p>
      <w:pPr>
        <w:keepLines w:val="0"/>
        <w:pageBreakBefore w:val="0"/>
        <w:kinsoku/>
        <w:wordWrap/>
        <w:overflowPunct/>
        <w:topLinePunct w:val="0"/>
        <w:autoSpaceDE/>
        <w:autoSpaceDN/>
        <w:bidi w:val="0"/>
        <w:adjustRightInd w:val="0"/>
        <w:snapToGrid w:val="0"/>
        <w:spacing w:line="560" w:lineRule="exact"/>
        <w:ind w:firstLine="643" w:firstLineChars="200"/>
        <w:rPr>
          <w:rStyle w:val="17"/>
          <w:rFonts w:hint="default" w:ascii="仿宋_GB2312" w:hAnsi="仿宋" w:eastAsia="仿宋_GB2312" w:cs="仿宋"/>
          <w:bCs/>
          <w:color w:val="auto"/>
          <w:sz w:val="32"/>
          <w:szCs w:val="32"/>
          <w:lang w:val="en-US" w:eastAsia="zh-CN"/>
        </w:rPr>
      </w:pPr>
      <w:r>
        <w:rPr>
          <w:rStyle w:val="17"/>
          <w:rFonts w:hint="eastAsia" w:ascii="仿宋_GB2312" w:hAnsi="仿宋" w:eastAsia="仿宋_GB2312" w:cs="仿宋"/>
          <w:b/>
          <w:sz w:val="32"/>
          <w:szCs w:val="32"/>
        </w:rPr>
        <w:t>——高水平人才集聚能力显著提升。</w:t>
      </w:r>
      <w:r>
        <w:rPr>
          <w:rStyle w:val="17"/>
          <w:rFonts w:hint="eastAsia" w:ascii="仿宋_GB2312" w:hAnsi="仿宋" w:eastAsia="仿宋_GB2312" w:cs="仿宋"/>
          <w:bCs/>
          <w:sz w:val="32"/>
          <w:szCs w:val="32"/>
        </w:rPr>
        <w:t>适应新时代全</w:t>
      </w:r>
      <w:r>
        <w:rPr>
          <w:rStyle w:val="17"/>
          <w:rFonts w:hint="eastAsia" w:ascii="仿宋_GB2312" w:hAnsi="仿宋" w:eastAsia="仿宋_GB2312" w:cs="仿宋"/>
          <w:bCs/>
          <w:sz w:val="32"/>
          <w:szCs w:val="32"/>
          <w:lang w:eastAsia="zh-CN"/>
        </w:rPr>
        <w:t>区</w:t>
      </w:r>
      <w:r>
        <w:rPr>
          <w:rStyle w:val="17"/>
          <w:rFonts w:hint="eastAsia" w:ascii="仿宋_GB2312" w:hAnsi="仿宋" w:eastAsia="仿宋_GB2312" w:cs="仿宋"/>
          <w:bCs/>
          <w:sz w:val="32"/>
          <w:szCs w:val="32"/>
        </w:rPr>
        <w:t>经济社会发展，进一步深化人才体制机制改革，做大做强专业技术人才队伍和技能人才队伍，推动全</w:t>
      </w:r>
      <w:r>
        <w:rPr>
          <w:rStyle w:val="17"/>
          <w:rFonts w:hint="eastAsia" w:ascii="仿宋_GB2312" w:hAnsi="仿宋" w:eastAsia="仿宋_GB2312" w:cs="仿宋"/>
          <w:bCs/>
          <w:sz w:val="32"/>
          <w:szCs w:val="32"/>
          <w:lang w:eastAsia="zh-CN"/>
        </w:rPr>
        <w:t>区</w:t>
      </w:r>
      <w:r>
        <w:rPr>
          <w:rStyle w:val="17"/>
          <w:rFonts w:hint="eastAsia" w:ascii="仿宋_GB2312" w:hAnsi="仿宋" w:eastAsia="仿宋_GB2312" w:cs="仿宋"/>
          <w:bCs/>
          <w:sz w:val="32"/>
          <w:szCs w:val="32"/>
        </w:rPr>
        <w:t>人才梯队结构更加优良。建立完善人才配套政策，优化人才引进机制，完善人才流动支持机制和高层次人才选拔机制，加大高层次人才引进力度</w:t>
      </w:r>
      <w:r>
        <w:rPr>
          <w:rStyle w:val="17"/>
          <w:rFonts w:hint="eastAsia" w:ascii="仿宋_GB2312" w:hAnsi="仿宋" w:eastAsia="仿宋_GB2312" w:cs="仿宋"/>
          <w:bCs/>
          <w:sz w:val="32"/>
          <w:szCs w:val="32"/>
          <w:lang w:eastAsia="zh-CN"/>
        </w:rPr>
        <w:t>和</w:t>
      </w:r>
      <w:r>
        <w:rPr>
          <w:rStyle w:val="17"/>
          <w:rFonts w:hint="eastAsia" w:ascii="仿宋_GB2312" w:hAnsi="仿宋" w:eastAsia="仿宋_GB2312" w:cs="仿宋"/>
          <w:bCs/>
          <w:sz w:val="32"/>
          <w:szCs w:val="32"/>
        </w:rPr>
        <w:t>培养力度。</w:t>
      </w:r>
      <w:r>
        <w:rPr>
          <w:rStyle w:val="17"/>
          <w:rFonts w:hint="eastAsia" w:ascii="仿宋_GB2312" w:hAnsi="仿宋" w:eastAsia="仿宋_GB2312" w:cs="仿宋"/>
          <w:bCs/>
          <w:color w:val="auto"/>
          <w:sz w:val="32"/>
          <w:szCs w:val="32"/>
        </w:rPr>
        <w:t xml:space="preserve"> 推进高层次人才服务专区建设，夯实人才创新创业平台载体，健全高层次人才“一站式”服务平台，</w:t>
      </w:r>
      <w:r>
        <w:rPr>
          <w:rStyle w:val="17"/>
          <w:rFonts w:hint="eastAsia" w:ascii="仿宋_GB2312" w:hAnsi="仿宋" w:eastAsia="仿宋_GB2312" w:cs="仿宋"/>
          <w:bCs/>
          <w:sz w:val="32"/>
          <w:szCs w:val="32"/>
        </w:rPr>
        <w:t>进一步完善人才公共服务体系，</w:t>
      </w:r>
      <w:r>
        <w:rPr>
          <w:rStyle w:val="17"/>
          <w:rFonts w:hint="eastAsia" w:ascii="仿宋_GB2312" w:eastAsia="仿宋_GB2312" w:cs="仿宋"/>
          <w:sz w:val="32"/>
          <w:szCs w:val="32"/>
        </w:rPr>
        <w:t>持续优化</w:t>
      </w:r>
      <w:r>
        <w:rPr>
          <w:rStyle w:val="17"/>
          <w:rFonts w:hint="eastAsia" w:ascii="仿宋_GB2312" w:hAnsi="仿宋" w:eastAsia="仿宋_GB2312" w:cs="仿宋"/>
          <w:bCs/>
          <w:sz w:val="32"/>
          <w:szCs w:val="32"/>
        </w:rPr>
        <w:t xml:space="preserve">人才发展环境。“十四五”期末，全区专业技术人才总量达 </w:t>
      </w:r>
      <w:r>
        <w:rPr>
          <w:rStyle w:val="17"/>
          <w:rFonts w:hint="eastAsia" w:ascii="仿宋_GB2312" w:hAnsi="仿宋" w:eastAsia="仿宋_GB2312" w:cs="仿宋"/>
          <w:bCs/>
          <w:sz w:val="32"/>
          <w:szCs w:val="32"/>
          <w:lang w:val="en-US" w:eastAsia="zh-CN"/>
        </w:rPr>
        <w:t>5</w:t>
      </w:r>
      <w:r>
        <w:rPr>
          <w:rStyle w:val="17"/>
          <w:rFonts w:hint="eastAsia" w:ascii="仿宋_GB2312" w:hAnsi="仿宋" w:eastAsia="仿宋_GB2312" w:cs="仿宋"/>
          <w:bCs/>
          <w:sz w:val="32"/>
          <w:szCs w:val="32"/>
        </w:rPr>
        <w:t>150人。</w:t>
      </w:r>
      <w:r>
        <w:rPr>
          <w:rStyle w:val="17"/>
          <w:rFonts w:hint="eastAsia" w:ascii="仿宋_GB2312" w:hAnsi="仿宋" w:eastAsia="仿宋_GB2312" w:cs="仿宋"/>
          <w:bCs/>
          <w:color w:val="auto"/>
          <w:sz w:val="32"/>
          <w:szCs w:val="32"/>
        </w:rPr>
        <w:t xml:space="preserve">技能人才达 </w:t>
      </w:r>
      <w:r>
        <w:rPr>
          <w:rStyle w:val="17"/>
          <w:rFonts w:hint="eastAsia" w:ascii="仿宋_GB2312" w:hAnsi="仿宋" w:eastAsia="仿宋_GB2312" w:cs="仿宋"/>
          <w:bCs/>
          <w:color w:val="auto"/>
          <w:sz w:val="32"/>
          <w:szCs w:val="32"/>
          <w:lang w:val="en-US" w:eastAsia="zh-CN"/>
        </w:rPr>
        <w:t>11</w:t>
      </w:r>
      <w:r>
        <w:rPr>
          <w:rStyle w:val="17"/>
          <w:rFonts w:hint="eastAsia" w:ascii="仿宋_GB2312" w:hAnsi="仿宋" w:eastAsia="仿宋_GB2312" w:cs="仿宋"/>
          <w:bCs/>
          <w:color w:val="auto"/>
          <w:sz w:val="32"/>
          <w:szCs w:val="32"/>
        </w:rPr>
        <w:t>000人，其中高技能人才达到</w:t>
      </w:r>
      <w:r>
        <w:rPr>
          <w:rStyle w:val="17"/>
          <w:rFonts w:hint="eastAsia" w:ascii="仿宋_GB2312" w:hAnsi="仿宋" w:eastAsia="仿宋_GB2312" w:cs="仿宋"/>
          <w:bCs/>
          <w:color w:val="auto"/>
          <w:sz w:val="32"/>
          <w:szCs w:val="32"/>
          <w:lang w:val="en-US" w:eastAsia="zh-CN"/>
        </w:rPr>
        <w:t>1650</w:t>
      </w:r>
      <w:r>
        <w:rPr>
          <w:rStyle w:val="17"/>
          <w:rFonts w:hint="eastAsia" w:ascii="仿宋_GB2312" w:hAnsi="仿宋" w:eastAsia="仿宋_GB2312" w:cs="仿宋"/>
          <w:bCs/>
          <w:color w:val="auto"/>
          <w:sz w:val="32"/>
          <w:szCs w:val="32"/>
        </w:rPr>
        <w:t>人，占技能人才</w:t>
      </w:r>
      <w:r>
        <w:rPr>
          <w:rStyle w:val="17"/>
          <w:rFonts w:hint="eastAsia" w:ascii="仿宋_GB2312" w:hAnsi="仿宋" w:eastAsia="仿宋_GB2312" w:cs="仿宋"/>
          <w:bCs/>
          <w:color w:val="auto"/>
          <w:sz w:val="32"/>
          <w:szCs w:val="32"/>
          <w:lang w:val="en-US" w:eastAsia="zh-CN"/>
        </w:rPr>
        <w:t>1</w:t>
      </w:r>
      <w:r>
        <w:rPr>
          <w:rStyle w:val="17"/>
          <w:rFonts w:hint="eastAsia" w:ascii="仿宋_GB2312" w:hAnsi="仿宋" w:eastAsia="仿宋_GB2312" w:cs="仿宋"/>
          <w:bCs/>
          <w:color w:val="auto"/>
          <w:sz w:val="32"/>
          <w:szCs w:val="32"/>
        </w:rPr>
        <w:t>5%以上。</w:t>
      </w:r>
      <w:r>
        <w:rPr>
          <w:rStyle w:val="17"/>
          <w:rFonts w:hint="eastAsia" w:ascii="仿宋_GB2312" w:hAnsi="仿宋" w:eastAsia="仿宋_GB2312" w:cs="仿宋"/>
          <w:bCs/>
          <w:color w:val="auto"/>
          <w:sz w:val="32"/>
          <w:szCs w:val="32"/>
          <w:lang w:eastAsia="zh-CN"/>
        </w:rPr>
        <w:t>新建博士工作站</w:t>
      </w:r>
      <w:r>
        <w:rPr>
          <w:rStyle w:val="17"/>
          <w:rFonts w:hint="eastAsia" w:ascii="仿宋_GB2312" w:hAnsi="仿宋" w:eastAsia="仿宋_GB2312" w:cs="仿宋"/>
          <w:bCs/>
          <w:color w:val="auto"/>
          <w:sz w:val="32"/>
          <w:szCs w:val="32"/>
          <w:lang w:val="en-US" w:eastAsia="zh-CN"/>
        </w:rPr>
        <w:t>1家以上。</w:t>
      </w:r>
    </w:p>
    <w:p>
      <w:pPr>
        <w:keepLines w:val="0"/>
        <w:pageBreakBefore w:val="0"/>
        <w:kinsoku/>
        <w:wordWrap/>
        <w:overflowPunct/>
        <w:topLinePunct w:val="0"/>
        <w:autoSpaceDE/>
        <w:autoSpaceDN/>
        <w:bidi w:val="0"/>
        <w:adjustRightInd w:val="0"/>
        <w:snapToGrid w:val="0"/>
        <w:spacing w:line="560" w:lineRule="exact"/>
        <w:ind w:firstLine="643" w:firstLineChars="200"/>
        <w:rPr>
          <w:rStyle w:val="17"/>
          <w:rFonts w:ascii="仿宋_GB2312" w:eastAsia="仿宋_GB2312" w:cs="仿宋"/>
          <w:bCs/>
          <w:color w:val="auto"/>
          <w:sz w:val="32"/>
          <w:szCs w:val="32"/>
        </w:rPr>
      </w:pPr>
      <w:r>
        <w:rPr>
          <w:rStyle w:val="17"/>
          <w:rFonts w:hint="eastAsia" w:ascii="仿宋_GB2312" w:hAnsi="仿宋" w:eastAsia="仿宋_GB2312" w:cs="仿宋"/>
          <w:b/>
          <w:sz w:val="32"/>
          <w:szCs w:val="32"/>
        </w:rPr>
        <w:t>——事业单位人事管理体制机制更加科学高效、规范有序。</w:t>
      </w:r>
      <w:r>
        <w:rPr>
          <w:rStyle w:val="17"/>
          <w:rFonts w:hint="eastAsia" w:ascii="仿宋_GB2312" w:eastAsia="仿宋_GB2312" w:cs="仿宋"/>
          <w:bCs/>
          <w:color w:val="auto"/>
          <w:sz w:val="32"/>
          <w:szCs w:val="32"/>
        </w:rPr>
        <w:t>突出加强党的全面领导、强化公益属性，加快建立政事分开、事企分开、管办分离的事业单位人事管理体制机制，用人机制更加灵活高效，激励机制更加科学有效，人才流动更加合理有序，促进形成广纳英才、人尽其才、才尽其用、充满活力的事业单位人事管理制度。</w:t>
      </w:r>
    </w:p>
    <w:p>
      <w:pPr>
        <w:keepLines w:val="0"/>
        <w:pageBreakBefore w:val="0"/>
        <w:kinsoku/>
        <w:wordWrap/>
        <w:overflowPunct/>
        <w:topLinePunct w:val="0"/>
        <w:autoSpaceDE/>
        <w:autoSpaceDN/>
        <w:bidi w:val="0"/>
        <w:adjustRightInd w:val="0"/>
        <w:snapToGrid w:val="0"/>
        <w:spacing w:line="560" w:lineRule="exact"/>
        <w:ind w:firstLine="643" w:firstLineChars="200"/>
        <w:rPr>
          <w:rStyle w:val="17"/>
          <w:rFonts w:ascii="仿宋_GB2312" w:eastAsia="仿宋_GB2312" w:cs="仿宋"/>
          <w:bCs/>
          <w:sz w:val="32"/>
          <w:szCs w:val="32"/>
        </w:rPr>
      </w:pPr>
      <w:r>
        <w:rPr>
          <w:rStyle w:val="17"/>
          <w:rFonts w:hint="eastAsia" w:ascii="仿宋_GB2312" w:hAnsi="仿宋" w:eastAsia="仿宋_GB2312" w:cs="仿宋"/>
          <w:b/>
          <w:sz w:val="32"/>
          <w:szCs w:val="32"/>
        </w:rPr>
        <w:t>——劳动关系更加和谐稳定。</w:t>
      </w:r>
      <w:r>
        <w:rPr>
          <w:rStyle w:val="17"/>
          <w:rFonts w:hint="eastAsia" w:ascii="仿宋_GB2312" w:hAnsi="仿宋" w:eastAsia="仿宋_GB2312" w:cs="仿宋"/>
          <w:sz w:val="32"/>
          <w:szCs w:val="32"/>
        </w:rPr>
        <w:t>工资收入分配秩序更加规范，劳动关系协调机制和矛盾调处机制更加健全，劳动人事争议调解仲裁体制机制更加完善，劳动保障监察治理效能不断提升，劳资纠纷风险得到有效控制，</w:t>
      </w:r>
      <w:r>
        <w:rPr>
          <w:rStyle w:val="17"/>
          <w:rFonts w:hint="eastAsia" w:ascii="仿宋_GB2312" w:hAnsi="仿宋" w:eastAsia="仿宋_GB2312" w:cs="仿宋"/>
          <w:bCs/>
          <w:sz w:val="32"/>
          <w:szCs w:val="32"/>
        </w:rPr>
        <w:t>形成劳动者体面劳动、全面发展良好局面。</w:t>
      </w:r>
      <w:r>
        <w:rPr>
          <w:rStyle w:val="17"/>
          <w:rFonts w:hint="eastAsia" w:ascii="仿宋_GB2312" w:hAnsi="仿宋" w:eastAsia="仿宋_GB2312" w:cs="仿宋"/>
          <w:sz w:val="32"/>
          <w:szCs w:val="32"/>
        </w:rPr>
        <w:t>“十四五”期末，</w:t>
      </w:r>
      <w:r>
        <w:rPr>
          <w:rStyle w:val="17"/>
          <w:rFonts w:hint="eastAsia" w:ascii="仿宋_GB2312" w:eastAsia="仿宋_GB2312" w:cs="仿宋"/>
          <w:sz w:val="32"/>
          <w:szCs w:val="32"/>
        </w:rPr>
        <w:t>劳动人事争议调解成功率达到</w:t>
      </w:r>
      <w:r>
        <w:rPr>
          <w:rStyle w:val="17"/>
          <w:rFonts w:hint="eastAsia" w:ascii="仿宋_GB2312" w:eastAsia="仿宋_GB2312" w:cs="仿宋"/>
          <w:sz w:val="32"/>
          <w:szCs w:val="32"/>
          <w:lang w:val="en-US" w:eastAsia="zh-CN"/>
        </w:rPr>
        <w:t>60</w:t>
      </w:r>
      <w:r>
        <w:rPr>
          <w:rStyle w:val="17"/>
          <w:rFonts w:hint="eastAsia" w:ascii="仿宋_GB2312" w:eastAsia="仿宋_GB2312" w:cs="仿宋"/>
          <w:sz w:val="32"/>
          <w:szCs w:val="32"/>
        </w:rPr>
        <w:t>%以上，劳动人事争议仲裁结案率达到9</w:t>
      </w:r>
      <w:r>
        <w:rPr>
          <w:rStyle w:val="17"/>
          <w:rFonts w:hint="eastAsia" w:ascii="仿宋_GB2312" w:eastAsia="仿宋_GB2312" w:cs="仿宋"/>
          <w:sz w:val="32"/>
          <w:szCs w:val="32"/>
          <w:lang w:val="en-US" w:eastAsia="zh-CN"/>
        </w:rPr>
        <w:t>0</w:t>
      </w:r>
      <w:r>
        <w:rPr>
          <w:rStyle w:val="17"/>
          <w:rFonts w:hint="eastAsia" w:ascii="仿宋_GB2312" w:eastAsia="仿宋_GB2312" w:cs="仿宋"/>
          <w:sz w:val="32"/>
          <w:szCs w:val="32"/>
        </w:rPr>
        <w:t>%以上，劳动保障监察举报投诉案件结案率达到96%以上</w:t>
      </w:r>
      <w:r>
        <w:rPr>
          <w:rStyle w:val="17"/>
          <w:rFonts w:hint="eastAsia" w:ascii="仿宋_GB2312" w:hAnsi="仿宋" w:eastAsia="仿宋_GB2312" w:cs="仿宋"/>
          <w:sz w:val="32"/>
          <w:szCs w:val="32"/>
        </w:rPr>
        <w:t>。</w:t>
      </w:r>
    </w:p>
    <w:p>
      <w:pPr>
        <w:keepLines w:val="0"/>
        <w:pageBreakBefore w:val="0"/>
        <w:kinsoku/>
        <w:wordWrap/>
        <w:overflowPunct/>
        <w:topLinePunct w:val="0"/>
        <w:autoSpaceDE/>
        <w:autoSpaceDN/>
        <w:bidi w:val="0"/>
        <w:adjustRightInd w:val="0"/>
        <w:snapToGrid w:val="0"/>
        <w:spacing w:line="560" w:lineRule="exact"/>
        <w:ind w:firstLine="643" w:firstLineChars="200"/>
        <w:rPr>
          <w:rStyle w:val="17"/>
          <w:rFonts w:hint="eastAsia" w:ascii="仿宋_GB2312" w:hAnsi="仿宋" w:eastAsia="仿宋_GB2312" w:cs="仿宋"/>
          <w:color w:val="auto"/>
          <w:sz w:val="32"/>
          <w:szCs w:val="32"/>
        </w:rPr>
      </w:pPr>
      <w:r>
        <w:rPr>
          <w:rStyle w:val="17"/>
          <w:rFonts w:hint="eastAsia" w:ascii="仿宋_GB2312" w:hAnsi="仿宋" w:eastAsia="仿宋_GB2312" w:cs="仿宋"/>
          <w:b/>
          <w:bCs/>
          <w:sz w:val="32"/>
          <w:szCs w:val="32"/>
        </w:rPr>
        <w:t>——公共服务能力明显提升。</w:t>
      </w:r>
      <w:r>
        <w:rPr>
          <w:rStyle w:val="17"/>
          <w:rFonts w:hint="eastAsia" w:ascii="仿宋_GB2312" w:hAnsi="仿宋" w:eastAsia="仿宋_GB2312" w:cs="仿宋"/>
          <w:color w:val="auto"/>
          <w:sz w:val="32"/>
          <w:szCs w:val="32"/>
        </w:rPr>
        <w:t>推进人力资源服务平台建设。建成区级人力资源服务产业园1个，区级</w:t>
      </w:r>
      <w:r>
        <w:rPr>
          <w:rStyle w:val="17"/>
          <w:rFonts w:hint="eastAsia" w:ascii="仿宋_GB2312" w:hAnsi="仿宋" w:eastAsia="仿宋_GB2312" w:cs="仿宋"/>
          <w:color w:val="auto"/>
          <w:sz w:val="32"/>
          <w:szCs w:val="32"/>
          <w:lang w:eastAsia="zh-CN"/>
        </w:rPr>
        <w:t>以上</w:t>
      </w:r>
      <w:r>
        <w:rPr>
          <w:rStyle w:val="17"/>
          <w:rFonts w:hint="eastAsia" w:ascii="仿宋_GB2312" w:hAnsi="仿宋" w:eastAsia="仿宋_GB2312" w:cs="仿宋"/>
          <w:color w:val="auto"/>
          <w:sz w:val="32"/>
          <w:szCs w:val="32"/>
        </w:rPr>
        <w:t>家政服务培训示范基地1个；建立</w:t>
      </w:r>
      <w:r>
        <w:rPr>
          <w:rStyle w:val="17"/>
          <w:rFonts w:hint="eastAsia" w:ascii="仿宋_GB2312" w:hAnsi="仿宋" w:eastAsia="仿宋_GB2312" w:cs="仿宋"/>
          <w:color w:val="auto"/>
          <w:sz w:val="32"/>
          <w:szCs w:val="32"/>
          <w:lang w:val="en-US" w:eastAsia="zh-CN"/>
        </w:rPr>
        <w:t>1-</w:t>
      </w:r>
      <w:r>
        <w:rPr>
          <w:rStyle w:val="17"/>
          <w:rFonts w:hint="eastAsia" w:ascii="仿宋_GB2312" w:hAnsi="仿宋" w:eastAsia="仿宋_GB2312" w:cs="仿宋"/>
          <w:color w:val="auto"/>
          <w:sz w:val="32"/>
          <w:szCs w:val="32"/>
        </w:rPr>
        <w:t>2家创新创业孵化基地，建成汕尾市城区港澳青年创新创业基地；建成“粤菜师傅美食一条街”，打造“粤菜师傅”培养示范基地、产业促进平台、工程交流合作平台和综合服务平台为一体的“粤菜师傅一基地三平台”。打造一流人社政务服务环境，人社基本公共服务标准化、信息化、便利化取得重要进展，群众满意度不断提升。社会保障卡“一卡通”广泛应用。全区社会保障卡常住人口持卡率达到</w:t>
      </w:r>
      <w:r>
        <w:rPr>
          <w:rStyle w:val="17"/>
          <w:rFonts w:hint="eastAsia" w:ascii="仿宋_GB2312" w:hAnsi="仿宋" w:eastAsia="仿宋_GB2312" w:cs="仿宋"/>
          <w:color w:val="auto"/>
          <w:sz w:val="32"/>
          <w:szCs w:val="32"/>
          <w:lang w:val="en-US" w:eastAsia="zh-CN"/>
        </w:rPr>
        <w:t>98</w:t>
      </w:r>
      <w:r>
        <w:rPr>
          <w:rStyle w:val="17"/>
          <w:rFonts w:hint="eastAsia" w:ascii="仿宋_GB2312" w:hAnsi="仿宋" w:eastAsia="仿宋_GB2312" w:cs="仿宋"/>
          <w:color w:val="auto"/>
          <w:sz w:val="32"/>
          <w:szCs w:val="32"/>
        </w:rPr>
        <w:t>%，申领电子社保卡人口覆盖率达到</w:t>
      </w:r>
      <w:r>
        <w:rPr>
          <w:rStyle w:val="17"/>
          <w:rFonts w:hint="eastAsia" w:ascii="仿宋_GB2312" w:hAnsi="仿宋" w:eastAsia="仿宋_GB2312" w:cs="仿宋"/>
          <w:color w:val="auto"/>
          <w:sz w:val="32"/>
          <w:szCs w:val="32"/>
          <w:lang w:val="en-US" w:eastAsia="zh-CN"/>
        </w:rPr>
        <w:t>75</w:t>
      </w:r>
      <w:r>
        <w:rPr>
          <w:rStyle w:val="17"/>
          <w:rFonts w:hint="eastAsia" w:ascii="仿宋_GB2312" w:hAnsi="仿宋" w:eastAsia="仿宋_GB2312" w:cs="仿宋"/>
          <w:color w:val="auto"/>
          <w:sz w:val="32"/>
          <w:szCs w:val="32"/>
        </w:rPr>
        <w:t>%。</w:t>
      </w:r>
    </w:p>
    <w:p>
      <w:pPr>
        <w:pStyle w:val="2"/>
        <w:rPr>
          <w:rStyle w:val="17"/>
          <w:rFonts w:hint="eastAsia" w:ascii="仿宋_GB2312" w:hAnsi="仿宋" w:eastAsia="仿宋_GB2312" w:cs="仿宋"/>
          <w:color w:val="auto"/>
          <w:sz w:val="32"/>
          <w:szCs w:val="32"/>
        </w:rPr>
      </w:pPr>
    </w:p>
    <w:p>
      <w:pPr>
        <w:rPr>
          <w:rFonts w:hint="eastAsia"/>
        </w:rPr>
      </w:pPr>
    </w:p>
    <w:tbl>
      <w:tblPr>
        <w:tblStyle w:val="14"/>
        <w:tblW w:w="90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3526"/>
        <w:gridCol w:w="878"/>
        <w:gridCol w:w="1393"/>
        <w:gridCol w:w="1479"/>
        <w:gridCol w:w="1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blHeader/>
        </w:trPr>
        <w:tc>
          <w:tcPr>
            <w:tcW w:w="9088" w:type="dxa"/>
            <w:gridSpan w:val="6"/>
            <w:tcBorders>
              <w:bottom w:val="single" w:color="auto" w:sz="4" w:space="0"/>
            </w:tcBorders>
            <w:shd w:val="clear" w:color="auto" w:fill="DBE5F1"/>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专栏2  汕尾市</w:t>
            </w:r>
            <w:r>
              <w:rPr>
                <w:rFonts w:hint="eastAsia" w:ascii="Times New Roman" w:hAnsi="Times New Roman" w:eastAsia="宋体"/>
                <w:szCs w:val="21"/>
                <w:lang w:eastAsia="zh-CN"/>
              </w:rPr>
              <w:t>城区</w:t>
            </w:r>
            <w:r>
              <w:rPr>
                <w:rFonts w:hint="eastAsia" w:ascii="Times New Roman" w:hAnsi="Times New Roman" w:eastAsia="宋体"/>
                <w:szCs w:val="21"/>
              </w:rPr>
              <w:t>人社“十四五”时期主要指标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blHeader/>
        </w:trPr>
        <w:tc>
          <w:tcPr>
            <w:tcW w:w="720"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序号</w:t>
            </w:r>
          </w:p>
        </w:tc>
        <w:tc>
          <w:tcPr>
            <w:tcW w:w="3526"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指标</w:t>
            </w:r>
          </w:p>
        </w:tc>
        <w:tc>
          <w:tcPr>
            <w:tcW w:w="878"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单位</w:t>
            </w:r>
          </w:p>
        </w:tc>
        <w:tc>
          <w:tcPr>
            <w:tcW w:w="1393"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2020年基数</w:t>
            </w:r>
          </w:p>
        </w:tc>
        <w:tc>
          <w:tcPr>
            <w:tcW w:w="1479"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2025年目标</w:t>
            </w:r>
          </w:p>
        </w:tc>
        <w:tc>
          <w:tcPr>
            <w:tcW w:w="1092"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指标属性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trPr>
        <w:tc>
          <w:tcPr>
            <w:tcW w:w="9088" w:type="dxa"/>
            <w:gridSpan w:val="6"/>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一、就业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20"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1</w:t>
            </w:r>
          </w:p>
        </w:tc>
        <w:tc>
          <w:tcPr>
            <w:tcW w:w="3526"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城镇新增就业人数</w:t>
            </w:r>
          </w:p>
        </w:tc>
        <w:tc>
          <w:tcPr>
            <w:tcW w:w="878"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万人</w:t>
            </w:r>
          </w:p>
        </w:tc>
        <w:tc>
          <w:tcPr>
            <w:tcW w:w="1393"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 xml:space="preserve">[ 3.02 </w:t>
            </w:r>
            <w:r>
              <w:rPr>
                <w:rFonts w:hint="eastAsia" w:ascii="Times New Roman" w:hAnsi="Times New Roman" w:eastAsia="宋体"/>
                <w:szCs w:val="21"/>
              </w:rPr>
              <w:t>]</w:t>
            </w:r>
          </w:p>
        </w:tc>
        <w:tc>
          <w:tcPr>
            <w:tcW w:w="1479"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lang w:val="en-US" w:eastAsia="zh-CN"/>
              </w:rPr>
              <w:t>[2.5</w:t>
            </w:r>
            <w:r>
              <w:rPr>
                <w:rFonts w:hint="eastAsia" w:ascii="Times New Roman" w:hAnsi="Times New Roman" w:eastAsia="宋体"/>
                <w:szCs w:val="21"/>
              </w:rPr>
              <w:t>]</w:t>
            </w:r>
          </w:p>
        </w:tc>
        <w:tc>
          <w:tcPr>
            <w:tcW w:w="1092"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20"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2</w:t>
            </w:r>
          </w:p>
        </w:tc>
        <w:tc>
          <w:tcPr>
            <w:tcW w:w="3526"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城镇登记失业率</w:t>
            </w:r>
          </w:p>
        </w:tc>
        <w:tc>
          <w:tcPr>
            <w:tcW w:w="878"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w:t>
            </w:r>
          </w:p>
        </w:tc>
        <w:tc>
          <w:tcPr>
            <w:tcW w:w="1393"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2.33</w:t>
            </w:r>
          </w:p>
        </w:tc>
        <w:tc>
          <w:tcPr>
            <w:tcW w:w="1479"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rPr>
              <w:t>3</w:t>
            </w:r>
            <w:r>
              <w:rPr>
                <w:rFonts w:hint="eastAsia" w:ascii="Times New Roman" w:hAnsi="Times New Roman" w:eastAsia="宋体"/>
                <w:szCs w:val="21"/>
                <w:lang w:val="en-US" w:eastAsia="zh-CN"/>
              </w:rPr>
              <w:t>.0</w:t>
            </w:r>
          </w:p>
        </w:tc>
        <w:tc>
          <w:tcPr>
            <w:tcW w:w="1092"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9088" w:type="dxa"/>
            <w:gridSpan w:val="6"/>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二、社会保险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20"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3</w:t>
            </w:r>
          </w:p>
        </w:tc>
        <w:tc>
          <w:tcPr>
            <w:tcW w:w="3526"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基本养老保险参保率</w:t>
            </w:r>
          </w:p>
        </w:tc>
        <w:tc>
          <w:tcPr>
            <w:tcW w:w="878"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w:t>
            </w:r>
          </w:p>
        </w:tc>
        <w:tc>
          <w:tcPr>
            <w:tcW w:w="1393"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91</w:t>
            </w:r>
          </w:p>
        </w:tc>
        <w:tc>
          <w:tcPr>
            <w:tcW w:w="1479"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95</w:t>
            </w:r>
          </w:p>
        </w:tc>
        <w:tc>
          <w:tcPr>
            <w:tcW w:w="1092"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20"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4</w:t>
            </w:r>
          </w:p>
        </w:tc>
        <w:tc>
          <w:tcPr>
            <w:tcW w:w="3526"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城镇职工基本养老保险参保人数</w:t>
            </w:r>
          </w:p>
        </w:tc>
        <w:tc>
          <w:tcPr>
            <w:tcW w:w="878"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万人</w:t>
            </w:r>
          </w:p>
        </w:tc>
        <w:tc>
          <w:tcPr>
            <w:tcW w:w="1393"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2.88</w:t>
            </w:r>
          </w:p>
        </w:tc>
        <w:tc>
          <w:tcPr>
            <w:tcW w:w="1479"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3.23</w:t>
            </w:r>
          </w:p>
        </w:tc>
        <w:tc>
          <w:tcPr>
            <w:tcW w:w="1092"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20"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5</w:t>
            </w:r>
          </w:p>
        </w:tc>
        <w:tc>
          <w:tcPr>
            <w:tcW w:w="3526"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城乡居民基本养老保险参保人数</w:t>
            </w:r>
          </w:p>
        </w:tc>
        <w:tc>
          <w:tcPr>
            <w:tcW w:w="878"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万人</w:t>
            </w:r>
          </w:p>
        </w:tc>
        <w:tc>
          <w:tcPr>
            <w:tcW w:w="1393"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10</w:t>
            </w:r>
          </w:p>
        </w:tc>
        <w:tc>
          <w:tcPr>
            <w:tcW w:w="1479"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11</w:t>
            </w:r>
          </w:p>
        </w:tc>
        <w:tc>
          <w:tcPr>
            <w:tcW w:w="1092"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20"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6</w:t>
            </w:r>
          </w:p>
        </w:tc>
        <w:tc>
          <w:tcPr>
            <w:tcW w:w="3526"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失业保险参保人数</w:t>
            </w:r>
          </w:p>
        </w:tc>
        <w:tc>
          <w:tcPr>
            <w:tcW w:w="878"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万人</w:t>
            </w:r>
          </w:p>
        </w:tc>
        <w:tc>
          <w:tcPr>
            <w:tcW w:w="1393"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0.76</w:t>
            </w:r>
          </w:p>
        </w:tc>
        <w:tc>
          <w:tcPr>
            <w:tcW w:w="1479"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0.94</w:t>
            </w:r>
          </w:p>
        </w:tc>
        <w:tc>
          <w:tcPr>
            <w:tcW w:w="1092"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20"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7</w:t>
            </w:r>
          </w:p>
        </w:tc>
        <w:tc>
          <w:tcPr>
            <w:tcW w:w="3526"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工伤保险参保人数</w:t>
            </w:r>
          </w:p>
        </w:tc>
        <w:tc>
          <w:tcPr>
            <w:tcW w:w="878"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万人</w:t>
            </w:r>
          </w:p>
        </w:tc>
        <w:tc>
          <w:tcPr>
            <w:tcW w:w="1393"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1.26</w:t>
            </w:r>
          </w:p>
        </w:tc>
        <w:tc>
          <w:tcPr>
            <w:tcW w:w="1479"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1.56</w:t>
            </w:r>
          </w:p>
        </w:tc>
        <w:tc>
          <w:tcPr>
            <w:tcW w:w="1092"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9088" w:type="dxa"/>
            <w:gridSpan w:val="6"/>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lang w:eastAsia="zh-CN"/>
              </w:rPr>
            </w:pPr>
            <w:r>
              <w:rPr>
                <w:rFonts w:hint="eastAsia" w:ascii="Times New Roman" w:hAnsi="Times New Roman" w:eastAsia="宋体"/>
                <w:szCs w:val="21"/>
                <w:lang w:eastAsia="zh-CN"/>
              </w:rPr>
              <w:t>三、人才队伍建设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20"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8</w:t>
            </w:r>
          </w:p>
        </w:tc>
        <w:tc>
          <w:tcPr>
            <w:tcW w:w="3526"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专业技术人才总量</w:t>
            </w:r>
          </w:p>
        </w:tc>
        <w:tc>
          <w:tcPr>
            <w:tcW w:w="878"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万人</w:t>
            </w:r>
          </w:p>
        </w:tc>
        <w:tc>
          <w:tcPr>
            <w:tcW w:w="1393"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0.47</w:t>
            </w:r>
          </w:p>
        </w:tc>
        <w:tc>
          <w:tcPr>
            <w:tcW w:w="1479"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0.52</w:t>
            </w:r>
          </w:p>
        </w:tc>
        <w:tc>
          <w:tcPr>
            <w:tcW w:w="1092"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20"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9</w:t>
            </w:r>
          </w:p>
        </w:tc>
        <w:tc>
          <w:tcPr>
            <w:tcW w:w="3526"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其中：高级职称人才数量</w:t>
            </w:r>
          </w:p>
        </w:tc>
        <w:tc>
          <w:tcPr>
            <w:tcW w:w="878"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万人</w:t>
            </w:r>
          </w:p>
        </w:tc>
        <w:tc>
          <w:tcPr>
            <w:tcW w:w="1393"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0.04</w:t>
            </w:r>
          </w:p>
        </w:tc>
        <w:tc>
          <w:tcPr>
            <w:tcW w:w="1479"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0.06</w:t>
            </w:r>
          </w:p>
        </w:tc>
        <w:tc>
          <w:tcPr>
            <w:tcW w:w="1092"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3" w:hRule="atLeast"/>
          <w:tblHeader/>
        </w:trPr>
        <w:tc>
          <w:tcPr>
            <w:tcW w:w="720"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10</w:t>
            </w:r>
          </w:p>
        </w:tc>
        <w:tc>
          <w:tcPr>
            <w:tcW w:w="3526"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新增取得专业技术人员职业资格证书人数</w:t>
            </w:r>
          </w:p>
        </w:tc>
        <w:tc>
          <w:tcPr>
            <w:tcW w:w="878"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人</w:t>
            </w:r>
          </w:p>
        </w:tc>
        <w:tc>
          <w:tcPr>
            <w:tcW w:w="1393"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0.01</w:t>
            </w:r>
          </w:p>
        </w:tc>
        <w:tc>
          <w:tcPr>
            <w:tcW w:w="1479"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0.01</w:t>
            </w:r>
          </w:p>
        </w:tc>
        <w:tc>
          <w:tcPr>
            <w:tcW w:w="1092"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trPr>
        <w:tc>
          <w:tcPr>
            <w:tcW w:w="720"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lang w:eastAsia="zh-CN"/>
              </w:rPr>
            </w:pPr>
            <w:r>
              <w:rPr>
                <w:rFonts w:hint="eastAsia" w:ascii="Times New Roman" w:hAnsi="Times New Roman" w:eastAsia="宋体"/>
                <w:szCs w:val="21"/>
              </w:rPr>
              <w:t>1</w:t>
            </w:r>
            <w:r>
              <w:rPr>
                <w:rFonts w:hint="eastAsia" w:ascii="Times New Roman" w:hAnsi="Times New Roman" w:eastAsia="宋体"/>
                <w:szCs w:val="21"/>
                <w:lang w:val="en-US" w:eastAsia="zh-CN"/>
              </w:rPr>
              <w:t>1</w:t>
            </w:r>
          </w:p>
        </w:tc>
        <w:tc>
          <w:tcPr>
            <w:tcW w:w="3526"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技能人才总量</w:t>
            </w:r>
          </w:p>
        </w:tc>
        <w:tc>
          <w:tcPr>
            <w:tcW w:w="878"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万人</w:t>
            </w:r>
          </w:p>
        </w:tc>
        <w:tc>
          <w:tcPr>
            <w:tcW w:w="1393"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0.2</w:t>
            </w:r>
          </w:p>
        </w:tc>
        <w:tc>
          <w:tcPr>
            <w:tcW w:w="1479"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1.1</w:t>
            </w:r>
          </w:p>
        </w:tc>
        <w:tc>
          <w:tcPr>
            <w:tcW w:w="1092"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20"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12</w:t>
            </w:r>
          </w:p>
        </w:tc>
        <w:tc>
          <w:tcPr>
            <w:tcW w:w="3526"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高技能人才占技能人才比例</w:t>
            </w:r>
          </w:p>
        </w:tc>
        <w:tc>
          <w:tcPr>
            <w:tcW w:w="878"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w:t>
            </w:r>
          </w:p>
        </w:tc>
        <w:tc>
          <w:tcPr>
            <w:tcW w:w="1393"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10</w:t>
            </w:r>
          </w:p>
        </w:tc>
        <w:tc>
          <w:tcPr>
            <w:tcW w:w="1479"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15</w:t>
            </w:r>
          </w:p>
        </w:tc>
        <w:tc>
          <w:tcPr>
            <w:tcW w:w="1092"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tblHeader/>
        </w:trPr>
        <w:tc>
          <w:tcPr>
            <w:tcW w:w="720"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lang w:eastAsia="zh-CN"/>
              </w:rPr>
            </w:pPr>
            <w:r>
              <w:rPr>
                <w:rFonts w:hint="eastAsia" w:ascii="Times New Roman" w:hAnsi="Times New Roman" w:eastAsia="宋体"/>
                <w:szCs w:val="21"/>
              </w:rPr>
              <w:t>1</w:t>
            </w:r>
            <w:r>
              <w:rPr>
                <w:rFonts w:hint="eastAsia" w:ascii="Times New Roman" w:hAnsi="Times New Roman" w:eastAsia="宋体"/>
                <w:szCs w:val="21"/>
                <w:lang w:val="en-US" w:eastAsia="zh-CN"/>
              </w:rPr>
              <w:t>3</w:t>
            </w:r>
          </w:p>
        </w:tc>
        <w:tc>
          <w:tcPr>
            <w:tcW w:w="3526"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新增取得职业资格证书或职业技能等级证书人数</w:t>
            </w:r>
          </w:p>
        </w:tc>
        <w:tc>
          <w:tcPr>
            <w:tcW w:w="878"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人</w:t>
            </w:r>
          </w:p>
        </w:tc>
        <w:tc>
          <w:tcPr>
            <w:tcW w:w="1393"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200</w:t>
            </w:r>
          </w:p>
        </w:tc>
        <w:tc>
          <w:tcPr>
            <w:tcW w:w="1479"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w:t>
            </w:r>
            <w:r>
              <w:rPr>
                <w:rFonts w:hint="eastAsia" w:ascii="Times New Roman" w:hAnsi="Times New Roman" w:eastAsia="宋体"/>
                <w:szCs w:val="21"/>
                <w:lang w:val="en-US" w:eastAsia="zh-CN"/>
              </w:rPr>
              <w:t>1500</w:t>
            </w:r>
            <w:r>
              <w:rPr>
                <w:rFonts w:hint="eastAsia" w:ascii="Times New Roman" w:hAnsi="Times New Roman" w:eastAsia="宋体"/>
                <w:szCs w:val="21"/>
              </w:rPr>
              <w:t>]</w:t>
            </w:r>
          </w:p>
        </w:tc>
        <w:tc>
          <w:tcPr>
            <w:tcW w:w="1092"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blHeader/>
        </w:trPr>
        <w:tc>
          <w:tcPr>
            <w:tcW w:w="720"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14</w:t>
            </w:r>
          </w:p>
        </w:tc>
        <w:tc>
          <w:tcPr>
            <w:tcW w:w="3526"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开展补贴性职业技能培训人次</w:t>
            </w:r>
          </w:p>
        </w:tc>
        <w:tc>
          <w:tcPr>
            <w:tcW w:w="878"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人</w:t>
            </w:r>
          </w:p>
        </w:tc>
        <w:tc>
          <w:tcPr>
            <w:tcW w:w="1393"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3000</w:t>
            </w:r>
          </w:p>
        </w:tc>
        <w:tc>
          <w:tcPr>
            <w:tcW w:w="1479"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w:t>
            </w:r>
            <w:r>
              <w:rPr>
                <w:rFonts w:hint="eastAsia" w:ascii="Times New Roman" w:hAnsi="Times New Roman" w:eastAsia="宋体"/>
                <w:szCs w:val="21"/>
                <w:lang w:val="en-US" w:eastAsia="zh-CN"/>
              </w:rPr>
              <w:t>10000</w:t>
            </w:r>
            <w:r>
              <w:rPr>
                <w:rFonts w:hint="eastAsia" w:ascii="Times New Roman" w:hAnsi="Times New Roman" w:eastAsia="宋体"/>
                <w:szCs w:val="21"/>
              </w:rPr>
              <w:t>]</w:t>
            </w:r>
          </w:p>
        </w:tc>
        <w:tc>
          <w:tcPr>
            <w:tcW w:w="1092"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blHeader/>
        </w:trPr>
        <w:tc>
          <w:tcPr>
            <w:tcW w:w="720"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15</w:t>
            </w:r>
          </w:p>
        </w:tc>
        <w:tc>
          <w:tcPr>
            <w:tcW w:w="3526"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其中：农民工参加职业培训人次</w:t>
            </w:r>
          </w:p>
        </w:tc>
        <w:tc>
          <w:tcPr>
            <w:tcW w:w="878"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人</w:t>
            </w:r>
          </w:p>
        </w:tc>
        <w:tc>
          <w:tcPr>
            <w:tcW w:w="1393"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w:t>
            </w:r>
          </w:p>
        </w:tc>
        <w:tc>
          <w:tcPr>
            <w:tcW w:w="1479"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w:t>
            </w:r>
            <w:r>
              <w:rPr>
                <w:rFonts w:hint="eastAsia" w:ascii="Times New Roman" w:hAnsi="Times New Roman" w:eastAsia="宋体"/>
                <w:szCs w:val="21"/>
                <w:lang w:val="en-US" w:eastAsia="zh-CN"/>
              </w:rPr>
              <w:t>2000</w:t>
            </w:r>
            <w:r>
              <w:rPr>
                <w:rFonts w:hint="eastAsia" w:ascii="Times New Roman" w:hAnsi="Times New Roman" w:eastAsia="宋体"/>
                <w:szCs w:val="21"/>
              </w:rPr>
              <w:t>]</w:t>
            </w:r>
          </w:p>
        </w:tc>
        <w:tc>
          <w:tcPr>
            <w:tcW w:w="1092"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20"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16</w:t>
            </w:r>
          </w:p>
        </w:tc>
        <w:tc>
          <w:tcPr>
            <w:tcW w:w="3526"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“粤菜师傅”培训人次</w:t>
            </w:r>
          </w:p>
        </w:tc>
        <w:tc>
          <w:tcPr>
            <w:tcW w:w="878"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人次</w:t>
            </w:r>
          </w:p>
        </w:tc>
        <w:tc>
          <w:tcPr>
            <w:tcW w:w="1393"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200</w:t>
            </w:r>
          </w:p>
        </w:tc>
        <w:tc>
          <w:tcPr>
            <w:tcW w:w="1479"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w:t>
            </w:r>
            <w:r>
              <w:rPr>
                <w:rFonts w:hint="eastAsia" w:ascii="Times New Roman" w:hAnsi="Times New Roman" w:eastAsia="宋体"/>
                <w:szCs w:val="21"/>
                <w:lang w:val="en-US" w:eastAsia="zh-CN"/>
              </w:rPr>
              <w:t>1000</w:t>
            </w:r>
            <w:r>
              <w:rPr>
                <w:rFonts w:hint="eastAsia" w:ascii="Times New Roman" w:hAnsi="Times New Roman" w:eastAsia="宋体"/>
                <w:szCs w:val="21"/>
              </w:rPr>
              <w:t>]</w:t>
            </w:r>
          </w:p>
        </w:tc>
        <w:tc>
          <w:tcPr>
            <w:tcW w:w="1092"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20"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17</w:t>
            </w:r>
          </w:p>
        </w:tc>
        <w:tc>
          <w:tcPr>
            <w:tcW w:w="3526"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“南粤家政”培训人次</w:t>
            </w:r>
          </w:p>
        </w:tc>
        <w:tc>
          <w:tcPr>
            <w:tcW w:w="878"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人次</w:t>
            </w:r>
          </w:p>
        </w:tc>
        <w:tc>
          <w:tcPr>
            <w:tcW w:w="1393"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200</w:t>
            </w:r>
          </w:p>
        </w:tc>
        <w:tc>
          <w:tcPr>
            <w:tcW w:w="1479"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w:t>
            </w:r>
            <w:r>
              <w:rPr>
                <w:rFonts w:hint="eastAsia" w:ascii="Times New Roman" w:hAnsi="Times New Roman" w:eastAsia="宋体"/>
                <w:szCs w:val="21"/>
                <w:lang w:val="en-US" w:eastAsia="zh-CN"/>
              </w:rPr>
              <w:t>1000</w:t>
            </w:r>
            <w:r>
              <w:rPr>
                <w:rFonts w:hint="eastAsia" w:ascii="Times New Roman" w:hAnsi="Times New Roman" w:eastAsia="宋体"/>
                <w:szCs w:val="21"/>
              </w:rPr>
              <w:t>]</w:t>
            </w:r>
          </w:p>
        </w:tc>
        <w:tc>
          <w:tcPr>
            <w:tcW w:w="1092"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20"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18</w:t>
            </w:r>
          </w:p>
        </w:tc>
        <w:tc>
          <w:tcPr>
            <w:tcW w:w="3526"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“农村电商”培训人数</w:t>
            </w:r>
          </w:p>
        </w:tc>
        <w:tc>
          <w:tcPr>
            <w:tcW w:w="878"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人</w:t>
            </w:r>
          </w:p>
        </w:tc>
        <w:tc>
          <w:tcPr>
            <w:tcW w:w="1393"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100</w:t>
            </w:r>
          </w:p>
        </w:tc>
        <w:tc>
          <w:tcPr>
            <w:tcW w:w="1479"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w:t>
            </w:r>
            <w:r>
              <w:rPr>
                <w:rFonts w:hint="eastAsia" w:ascii="Times New Roman" w:hAnsi="Times New Roman" w:eastAsia="宋体"/>
                <w:szCs w:val="21"/>
                <w:lang w:val="en-US" w:eastAsia="zh-CN"/>
              </w:rPr>
              <w:t>500</w:t>
            </w:r>
            <w:r>
              <w:rPr>
                <w:rFonts w:hint="eastAsia" w:ascii="Times New Roman" w:hAnsi="Times New Roman" w:eastAsia="宋体"/>
                <w:szCs w:val="21"/>
              </w:rPr>
              <w:t>]</w:t>
            </w:r>
          </w:p>
        </w:tc>
        <w:tc>
          <w:tcPr>
            <w:tcW w:w="1092"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blHeader/>
        </w:trPr>
        <w:tc>
          <w:tcPr>
            <w:tcW w:w="9088" w:type="dxa"/>
            <w:gridSpan w:val="6"/>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四、劳动关系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blHeader/>
        </w:trPr>
        <w:tc>
          <w:tcPr>
            <w:tcW w:w="720"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19</w:t>
            </w:r>
          </w:p>
        </w:tc>
        <w:tc>
          <w:tcPr>
            <w:tcW w:w="3526"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劳动人事争议调解成功率</w:t>
            </w:r>
          </w:p>
        </w:tc>
        <w:tc>
          <w:tcPr>
            <w:tcW w:w="878"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w:t>
            </w:r>
          </w:p>
        </w:tc>
        <w:tc>
          <w:tcPr>
            <w:tcW w:w="1393"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98</w:t>
            </w:r>
          </w:p>
        </w:tc>
        <w:tc>
          <w:tcPr>
            <w:tcW w:w="1479"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&gt;60</w:t>
            </w:r>
          </w:p>
        </w:tc>
        <w:tc>
          <w:tcPr>
            <w:tcW w:w="1092"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blHeader/>
        </w:trPr>
        <w:tc>
          <w:tcPr>
            <w:tcW w:w="720"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lang w:eastAsia="zh-CN"/>
              </w:rPr>
            </w:pPr>
            <w:r>
              <w:rPr>
                <w:rFonts w:hint="eastAsia" w:ascii="Times New Roman" w:hAnsi="Times New Roman" w:eastAsia="宋体"/>
                <w:szCs w:val="21"/>
              </w:rPr>
              <w:t>2</w:t>
            </w:r>
            <w:r>
              <w:rPr>
                <w:rFonts w:hint="eastAsia" w:ascii="Times New Roman" w:hAnsi="Times New Roman" w:eastAsia="宋体"/>
                <w:szCs w:val="21"/>
                <w:lang w:val="en-US" w:eastAsia="zh-CN"/>
              </w:rPr>
              <w:t>0</w:t>
            </w:r>
          </w:p>
        </w:tc>
        <w:tc>
          <w:tcPr>
            <w:tcW w:w="3526"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劳动人事争议仲裁结案率</w:t>
            </w:r>
          </w:p>
        </w:tc>
        <w:tc>
          <w:tcPr>
            <w:tcW w:w="878"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w:t>
            </w:r>
          </w:p>
        </w:tc>
        <w:tc>
          <w:tcPr>
            <w:tcW w:w="1393"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100</w:t>
            </w:r>
          </w:p>
        </w:tc>
        <w:tc>
          <w:tcPr>
            <w:tcW w:w="1479"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&gt;90</w:t>
            </w:r>
          </w:p>
        </w:tc>
        <w:tc>
          <w:tcPr>
            <w:tcW w:w="1092"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blHeader/>
        </w:trPr>
        <w:tc>
          <w:tcPr>
            <w:tcW w:w="720"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lang w:eastAsia="zh-CN"/>
              </w:rPr>
            </w:pPr>
            <w:r>
              <w:rPr>
                <w:rFonts w:hint="eastAsia" w:ascii="Times New Roman" w:hAnsi="Times New Roman" w:eastAsia="宋体"/>
                <w:szCs w:val="21"/>
              </w:rPr>
              <w:t>2</w:t>
            </w:r>
            <w:r>
              <w:rPr>
                <w:rFonts w:hint="eastAsia" w:ascii="Times New Roman" w:hAnsi="Times New Roman" w:eastAsia="宋体"/>
                <w:szCs w:val="21"/>
                <w:lang w:val="en-US" w:eastAsia="zh-CN"/>
              </w:rPr>
              <w:t>1</w:t>
            </w:r>
          </w:p>
        </w:tc>
        <w:tc>
          <w:tcPr>
            <w:tcW w:w="3526"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劳动保障监察举报投诉案件结案率</w:t>
            </w:r>
          </w:p>
        </w:tc>
        <w:tc>
          <w:tcPr>
            <w:tcW w:w="878"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w:t>
            </w:r>
          </w:p>
        </w:tc>
        <w:tc>
          <w:tcPr>
            <w:tcW w:w="1393"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100</w:t>
            </w:r>
          </w:p>
        </w:tc>
        <w:tc>
          <w:tcPr>
            <w:tcW w:w="1479"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&gt;96</w:t>
            </w:r>
          </w:p>
        </w:tc>
        <w:tc>
          <w:tcPr>
            <w:tcW w:w="1092"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blHeader/>
        </w:trPr>
        <w:tc>
          <w:tcPr>
            <w:tcW w:w="9088" w:type="dxa"/>
            <w:gridSpan w:val="6"/>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五、公共服务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20"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lang w:eastAsia="zh-CN"/>
              </w:rPr>
            </w:pPr>
            <w:r>
              <w:rPr>
                <w:rFonts w:hint="eastAsia" w:ascii="Times New Roman" w:hAnsi="Times New Roman" w:eastAsia="宋体"/>
                <w:szCs w:val="21"/>
              </w:rPr>
              <w:t>2</w:t>
            </w:r>
            <w:r>
              <w:rPr>
                <w:rFonts w:hint="eastAsia" w:ascii="Times New Roman" w:hAnsi="Times New Roman" w:eastAsia="宋体"/>
                <w:szCs w:val="21"/>
                <w:lang w:val="en-US" w:eastAsia="zh-CN"/>
              </w:rPr>
              <w:t>2</w:t>
            </w:r>
          </w:p>
        </w:tc>
        <w:tc>
          <w:tcPr>
            <w:tcW w:w="3526"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社会保障卡持卡人数</w:t>
            </w:r>
          </w:p>
        </w:tc>
        <w:tc>
          <w:tcPr>
            <w:tcW w:w="878"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万人</w:t>
            </w:r>
          </w:p>
        </w:tc>
        <w:tc>
          <w:tcPr>
            <w:tcW w:w="1393"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39.45</w:t>
            </w:r>
          </w:p>
        </w:tc>
        <w:tc>
          <w:tcPr>
            <w:tcW w:w="1479"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39.45</w:t>
            </w:r>
          </w:p>
        </w:tc>
        <w:tc>
          <w:tcPr>
            <w:tcW w:w="1092"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20"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lang w:eastAsia="zh-CN"/>
              </w:rPr>
            </w:pPr>
            <w:r>
              <w:rPr>
                <w:rFonts w:hint="eastAsia" w:ascii="Times New Roman" w:hAnsi="Times New Roman" w:eastAsia="宋体"/>
                <w:szCs w:val="21"/>
              </w:rPr>
              <w:t>2</w:t>
            </w:r>
            <w:r>
              <w:rPr>
                <w:rFonts w:hint="eastAsia" w:ascii="Times New Roman" w:hAnsi="Times New Roman" w:eastAsia="宋体"/>
                <w:szCs w:val="21"/>
                <w:lang w:val="en-US" w:eastAsia="zh-CN"/>
              </w:rPr>
              <w:t>3</w:t>
            </w:r>
          </w:p>
        </w:tc>
        <w:tc>
          <w:tcPr>
            <w:tcW w:w="3526"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其中：申领电子社保卡人口覆盖率</w:t>
            </w:r>
          </w:p>
        </w:tc>
        <w:tc>
          <w:tcPr>
            <w:tcW w:w="878"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w:t>
            </w:r>
          </w:p>
        </w:tc>
        <w:tc>
          <w:tcPr>
            <w:tcW w:w="1393"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w:t>
            </w:r>
          </w:p>
        </w:tc>
        <w:tc>
          <w:tcPr>
            <w:tcW w:w="1479"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75</w:t>
            </w:r>
          </w:p>
        </w:tc>
        <w:tc>
          <w:tcPr>
            <w:tcW w:w="1092" w:type="dxa"/>
            <w:shd w:val="clear" w:color="auto" w:fill="C6D9F0"/>
            <w:vAlign w:val="center"/>
          </w:tcPr>
          <w:p>
            <w:pPr>
              <w:keepLines w:val="0"/>
              <w:pageBreakBefore w:val="0"/>
              <w:kinsoku/>
              <w:wordWrap/>
              <w:overflowPunct/>
              <w:topLinePunct w:val="0"/>
              <w:autoSpaceDE/>
              <w:autoSpaceDN/>
              <w:bidi w:val="0"/>
              <w:adjustRightInd w:val="0"/>
              <w:snapToGrid w:val="0"/>
              <w:spacing w:before="120" w:beforeLines="50" w:line="560" w:lineRule="exact"/>
              <w:jc w:val="center"/>
              <w:rPr>
                <w:rFonts w:hint="eastAsia" w:ascii="Times New Roman" w:hAnsi="Times New Roman" w:eastAsia="宋体"/>
                <w:szCs w:val="21"/>
              </w:rPr>
            </w:pPr>
            <w:r>
              <w:rPr>
                <w:rFonts w:hint="eastAsia" w:ascii="Times New Roman" w:hAnsi="Times New Roman" w:eastAsia="宋体"/>
                <w:szCs w:val="21"/>
              </w:rPr>
              <w:t>预期性</w:t>
            </w:r>
          </w:p>
        </w:tc>
      </w:tr>
    </w:tbl>
    <w:p>
      <w:pPr>
        <w:adjustRightInd w:val="0"/>
        <w:snapToGrid w:val="0"/>
        <w:spacing w:before="120" w:beforeLines="50" w:line="360" w:lineRule="auto"/>
        <w:ind w:firstLine="420" w:firstLineChars="200"/>
        <w:rPr>
          <w:rStyle w:val="17"/>
          <w:rFonts w:ascii="Times New Roman" w:hAnsi="Times New Roman" w:eastAsia="楷体"/>
          <w:color w:val="auto"/>
          <w:szCs w:val="21"/>
          <w:highlight w:val="none"/>
        </w:rPr>
      </w:pPr>
      <w:r>
        <w:rPr>
          <w:rFonts w:hint="eastAsia" w:ascii="Times New Roman" w:hAnsi="Times New Roman" w:eastAsia="楷体"/>
          <w:color w:val="auto"/>
          <w:szCs w:val="21"/>
          <w:highlight w:val="none"/>
        </w:rPr>
        <w:t>注：[ ] 内为5年累计数</w:t>
      </w:r>
    </w:p>
    <w:p>
      <w:pPr>
        <w:pStyle w:val="4"/>
        <w:keepNext w:val="0"/>
        <w:keepLines w:val="0"/>
        <w:adjustRightInd w:val="0"/>
        <w:snapToGrid w:val="0"/>
        <w:spacing w:before="120" w:beforeLines="50" w:after="120" w:afterLines="50" w:line="360" w:lineRule="auto"/>
        <w:ind w:left="200"/>
        <w:jc w:val="center"/>
        <w:rPr>
          <w:rFonts w:ascii="Cambria" w:hAnsi="Cambria" w:eastAsia="楷体_GB2312"/>
          <w:color w:val="auto"/>
          <w:sz w:val="34"/>
          <w:highlight w:val="none"/>
        </w:rPr>
      </w:pPr>
    </w:p>
    <w:p>
      <w:pPr>
        <w:pStyle w:val="3"/>
        <w:keepLines w:val="0"/>
        <w:pageBreakBefore w:val="0"/>
        <w:kinsoku/>
        <w:wordWrap/>
        <w:overflowPunct/>
        <w:topLinePunct w:val="0"/>
        <w:autoSpaceDE/>
        <w:autoSpaceDN/>
        <w:bidi w:val="0"/>
        <w:adjustRightInd w:val="0"/>
        <w:snapToGrid w:val="0"/>
        <w:spacing w:before="120" w:beforeLines="50" w:after="120" w:afterLines="50" w:line="560" w:lineRule="exact"/>
        <w:jc w:val="center"/>
        <w:rPr>
          <w:rFonts w:hint="eastAsia" w:ascii="Calibri" w:hAnsi="Calibri" w:eastAsia="黑体"/>
          <w:sz w:val="44"/>
          <w:szCs w:val="44"/>
          <w:lang w:val="en-US" w:eastAsia="zh-CN"/>
        </w:rPr>
      </w:pPr>
      <w:bookmarkStart w:id="18" w:name="_Toc10461"/>
    </w:p>
    <w:p>
      <w:pPr>
        <w:rPr>
          <w:rFonts w:hint="eastAsia"/>
          <w:lang w:val="en-US" w:eastAsia="zh-CN"/>
        </w:rPr>
      </w:pPr>
    </w:p>
    <w:p>
      <w:pPr>
        <w:pStyle w:val="3"/>
        <w:keepLines w:val="0"/>
        <w:pageBreakBefore w:val="0"/>
        <w:kinsoku/>
        <w:wordWrap/>
        <w:overflowPunct/>
        <w:topLinePunct w:val="0"/>
        <w:autoSpaceDE/>
        <w:autoSpaceDN/>
        <w:bidi w:val="0"/>
        <w:adjustRightInd w:val="0"/>
        <w:snapToGrid w:val="0"/>
        <w:spacing w:before="120" w:beforeLines="50" w:after="120" w:afterLines="50" w:line="560" w:lineRule="exact"/>
        <w:jc w:val="center"/>
        <w:rPr>
          <w:rFonts w:hint="eastAsia" w:ascii="Calibri" w:hAnsi="Calibri" w:eastAsia="黑体"/>
          <w:sz w:val="44"/>
          <w:szCs w:val="44"/>
          <w:lang w:val="en-US" w:eastAsia="zh-CN"/>
        </w:rPr>
      </w:pPr>
    </w:p>
    <w:p>
      <w:pPr>
        <w:pStyle w:val="3"/>
        <w:keepLines w:val="0"/>
        <w:pageBreakBefore w:val="0"/>
        <w:kinsoku/>
        <w:wordWrap/>
        <w:overflowPunct/>
        <w:topLinePunct w:val="0"/>
        <w:autoSpaceDE/>
        <w:autoSpaceDN/>
        <w:bidi w:val="0"/>
        <w:adjustRightInd w:val="0"/>
        <w:snapToGrid w:val="0"/>
        <w:spacing w:before="120" w:beforeLines="50" w:after="120" w:afterLines="50" w:line="560" w:lineRule="exact"/>
        <w:jc w:val="center"/>
        <w:rPr>
          <w:rFonts w:ascii="Calibri" w:hAnsi="Calibri" w:eastAsia="黑体"/>
          <w:sz w:val="44"/>
          <w:szCs w:val="44"/>
          <w:lang w:val="en-US" w:eastAsia="zh-CN"/>
        </w:rPr>
      </w:pPr>
      <w:bookmarkStart w:id="19" w:name="_Toc20329"/>
      <w:r>
        <w:rPr>
          <w:rFonts w:hint="eastAsia" w:ascii="Calibri" w:hAnsi="Calibri" w:eastAsia="黑体"/>
          <w:sz w:val="44"/>
          <w:szCs w:val="44"/>
          <w:lang w:val="en-US" w:eastAsia="zh-CN"/>
        </w:rPr>
        <w:t>第三章  促进深汕人社制度有效对接</w:t>
      </w:r>
      <w:bookmarkEnd w:id="18"/>
      <w:bookmarkEnd w:id="19"/>
    </w:p>
    <w:p>
      <w:pPr>
        <w:adjustRightInd w:val="0"/>
        <w:spacing w:line="360" w:lineRule="auto"/>
        <w:ind w:firstLine="640" w:firstLineChars="200"/>
        <w:rPr>
          <w:rStyle w:val="17"/>
          <w:rFonts w:hint="eastAsia" w:hAnsi="仿宋" w:eastAsia="仿宋_GB2312" w:cs="仿宋"/>
          <w:sz w:val="32"/>
          <w:szCs w:val="32"/>
        </w:rPr>
      </w:pPr>
      <w:r>
        <w:rPr>
          <w:rStyle w:val="17"/>
          <w:rFonts w:hint="eastAsia" w:hAnsi="仿宋" w:eastAsia="仿宋_GB2312" w:cs="仿宋"/>
          <w:sz w:val="32"/>
          <w:szCs w:val="32"/>
        </w:rPr>
        <w:t>加强就业合作，健全人才政策体系对接，推进公共服务一体化发展，为全面接轨深圳</w:t>
      </w:r>
      <w:r>
        <w:rPr>
          <w:rStyle w:val="17"/>
          <w:rFonts w:hint="eastAsia" w:hAnsi="仿宋" w:eastAsia="仿宋_GB2312" w:cs="仿宋"/>
          <w:sz w:val="32"/>
          <w:szCs w:val="32"/>
          <w:lang w:eastAsia="zh-CN"/>
        </w:rPr>
        <w:t>、</w:t>
      </w:r>
      <w:r>
        <w:rPr>
          <w:rStyle w:val="17"/>
          <w:rFonts w:hint="eastAsia" w:hAnsi="仿宋" w:eastAsia="仿宋_GB2312" w:cs="仿宋"/>
          <w:sz w:val="32"/>
          <w:szCs w:val="32"/>
        </w:rPr>
        <w:t>全力融入“双区”</w:t>
      </w:r>
      <w:r>
        <w:rPr>
          <w:rStyle w:val="17"/>
          <w:rFonts w:hint="eastAsia" w:hAnsi="仿宋" w:eastAsia="仿宋_GB2312" w:cs="仿宋"/>
          <w:sz w:val="32"/>
          <w:szCs w:val="32"/>
          <w:lang w:eastAsia="zh-CN"/>
        </w:rPr>
        <w:t>，</w:t>
      </w:r>
      <w:r>
        <w:rPr>
          <w:rStyle w:val="17"/>
          <w:rFonts w:hint="eastAsia" w:hAnsi="仿宋" w:eastAsia="仿宋_GB2312" w:cs="仿宋"/>
          <w:color w:val="auto"/>
          <w:sz w:val="32"/>
          <w:szCs w:val="32"/>
          <w:highlight w:val="none"/>
          <w:lang w:eastAsia="zh-CN"/>
        </w:rPr>
        <w:t>加快</w:t>
      </w:r>
      <w:r>
        <w:rPr>
          <w:rStyle w:val="17"/>
          <w:rFonts w:hint="eastAsia" w:hAnsi="仿宋" w:eastAsia="仿宋_GB2312" w:cs="仿宋"/>
          <w:color w:val="auto"/>
          <w:sz w:val="32"/>
          <w:szCs w:val="32"/>
          <w:highlight w:val="none"/>
        </w:rPr>
        <w:t>建设</w:t>
      </w:r>
      <w:r>
        <w:rPr>
          <w:rStyle w:val="17"/>
          <w:rFonts w:hint="eastAsia" w:hAnsi="仿宋" w:eastAsia="仿宋_GB2312" w:cs="仿宋"/>
          <w:color w:val="auto"/>
          <w:sz w:val="32"/>
          <w:szCs w:val="32"/>
          <w:highlight w:val="none"/>
          <w:lang w:eastAsia="zh-CN"/>
        </w:rPr>
        <w:t>沿海经济带靓丽明珠</w:t>
      </w:r>
      <w:r>
        <w:rPr>
          <w:rStyle w:val="17"/>
          <w:rFonts w:hint="eastAsia" w:hAnsi="仿宋" w:eastAsia="仿宋_GB2312" w:cs="仿宋"/>
          <w:color w:val="auto"/>
          <w:sz w:val="32"/>
          <w:szCs w:val="32"/>
          <w:highlight w:val="none"/>
        </w:rPr>
        <w:t>提供新动能。</w:t>
      </w:r>
    </w:p>
    <w:p>
      <w:pPr>
        <w:pStyle w:val="2"/>
      </w:pPr>
    </w:p>
    <w:p>
      <w:pPr>
        <w:pStyle w:val="4"/>
        <w:keepNext w:val="0"/>
        <w:keepLines w:val="0"/>
        <w:pageBreakBefore w:val="0"/>
        <w:kinsoku/>
        <w:wordWrap/>
        <w:overflowPunct/>
        <w:topLinePunct w:val="0"/>
        <w:autoSpaceDE/>
        <w:autoSpaceDN/>
        <w:bidi w:val="0"/>
        <w:adjustRightInd w:val="0"/>
        <w:snapToGrid w:val="0"/>
        <w:spacing w:before="120" w:beforeLines="50" w:after="120" w:afterLines="50" w:line="560" w:lineRule="exact"/>
        <w:ind w:left="200"/>
        <w:jc w:val="center"/>
        <w:rPr>
          <w:rFonts w:ascii="Cambria" w:hAnsi="Cambria" w:eastAsia="楷体_GB2312"/>
          <w:color w:val="000000"/>
          <w:sz w:val="34"/>
        </w:rPr>
      </w:pPr>
      <w:bookmarkStart w:id="20" w:name="_Toc14195"/>
      <w:bookmarkStart w:id="21" w:name="_Toc31746"/>
      <w:r>
        <w:rPr>
          <w:rFonts w:hint="eastAsia" w:ascii="Cambria" w:hAnsi="Cambria" w:eastAsia="楷体_GB2312"/>
          <w:color w:val="000000"/>
          <w:sz w:val="34"/>
        </w:rPr>
        <w:t>第一节  加强就业合作</w:t>
      </w:r>
      <w:bookmarkEnd w:id="20"/>
      <w:bookmarkEnd w:id="21"/>
    </w:p>
    <w:p>
      <w:pPr>
        <w:keepNext w:val="0"/>
        <w:keepLines w:val="0"/>
        <w:pageBreakBefore w:val="0"/>
        <w:widowControl w:val="0"/>
        <w:kinsoku/>
        <w:wordWrap/>
        <w:overflowPunct/>
        <w:topLinePunct w:val="0"/>
        <w:autoSpaceDE/>
        <w:autoSpaceDN/>
        <w:bidi w:val="0"/>
        <w:adjustRightInd w:val="0"/>
        <w:snapToGrid/>
        <w:spacing w:line="560" w:lineRule="exact"/>
        <w:ind w:firstLine="643" w:firstLineChars="200"/>
        <w:textAlignment w:val="auto"/>
        <w:rPr>
          <w:rStyle w:val="17"/>
          <w:rFonts w:hAnsi="仿宋" w:eastAsia="仿宋_GB2312" w:cs="仿宋"/>
          <w:color w:val="auto"/>
          <w:sz w:val="32"/>
          <w:szCs w:val="32"/>
        </w:rPr>
      </w:pPr>
      <w:r>
        <w:rPr>
          <w:rStyle w:val="17"/>
          <w:rFonts w:hint="eastAsia" w:hAnsi="仿宋" w:eastAsia="仿宋_GB2312" w:cs="仿宋"/>
          <w:b/>
          <w:sz w:val="32"/>
          <w:szCs w:val="32"/>
        </w:rPr>
        <w:t>加强就业创业政策体系对接。</w:t>
      </w:r>
      <w:r>
        <w:rPr>
          <w:rStyle w:val="17"/>
          <w:rFonts w:hint="eastAsia" w:hAnsi="仿宋" w:eastAsia="仿宋_GB2312" w:cs="仿宋"/>
          <w:b w:val="0"/>
          <w:bCs/>
          <w:sz w:val="32"/>
          <w:szCs w:val="32"/>
          <w:lang w:eastAsia="zh-CN"/>
        </w:rPr>
        <w:t>依托深圳光明区的帮扶，</w:t>
      </w:r>
      <w:r>
        <w:rPr>
          <w:rStyle w:val="17"/>
          <w:rFonts w:hint="eastAsia" w:hAnsi="仿宋" w:eastAsia="仿宋_GB2312" w:cs="仿宋"/>
          <w:color w:val="auto"/>
          <w:sz w:val="32"/>
          <w:szCs w:val="32"/>
        </w:rPr>
        <w:t>加强与深圳</w:t>
      </w:r>
      <w:r>
        <w:rPr>
          <w:rStyle w:val="17"/>
          <w:rFonts w:hint="eastAsia" w:hAnsi="仿宋" w:eastAsia="仿宋_GB2312" w:cs="仿宋"/>
          <w:color w:val="auto"/>
          <w:sz w:val="32"/>
          <w:szCs w:val="32"/>
          <w:lang w:eastAsia="zh-CN"/>
        </w:rPr>
        <w:t>光明区</w:t>
      </w:r>
      <w:r>
        <w:rPr>
          <w:rStyle w:val="17"/>
          <w:rFonts w:hint="eastAsia" w:hAnsi="仿宋" w:eastAsia="仿宋_GB2312" w:cs="仿宋"/>
          <w:color w:val="auto"/>
          <w:sz w:val="32"/>
          <w:szCs w:val="32"/>
        </w:rPr>
        <w:t>的劳务协作，建立劳务对接信息平台，加强与深圳的信息共享，畅通就业通道。共享高校毕业生信息，吸引深圳高校毕业生到汕尾工作。加强创业政策体系对接，整合由深圳返乡、入乡创业</w:t>
      </w:r>
      <w:r>
        <w:rPr>
          <w:rStyle w:val="17"/>
          <w:rFonts w:hint="eastAsia" w:hAnsi="仿宋" w:eastAsia="仿宋_GB2312" w:cs="仿宋"/>
          <w:color w:val="auto"/>
          <w:sz w:val="32"/>
          <w:szCs w:val="32"/>
          <w:lang w:eastAsia="zh-CN"/>
        </w:rPr>
        <w:t>载体资源，建立创业</w:t>
      </w:r>
      <w:r>
        <w:rPr>
          <w:rStyle w:val="17"/>
          <w:rFonts w:hint="eastAsia" w:hAnsi="仿宋" w:eastAsia="仿宋_GB2312" w:cs="仿宋"/>
          <w:color w:val="auto"/>
          <w:sz w:val="32"/>
          <w:szCs w:val="32"/>
        </w:rPr>
        <w:t>带动就业专项资金长效投入机制，为返乡入乡人员提供优质创业服务。加强就业形势分析协调合作。</w:t>
      </w:r>
    </w:p>
    <w:p>
      <w:pPr>
        <w:keepLines w:val="0"/>
        <w:pageBreakBefore w:val="0"/>
        <w:kinsoku/>
        <w:wordWrap/>
        <w:overflowPunct/>
        <w:topLinePunct w:val="0"/>
        <w:autoSpaceDE/>
        <w:autoSpaceDN/>
        <w:bidi w:val="0"/>
        <w:adjustRightInd w:val="0"/>
        <w:spacing w:line="560" w:lineRule="exact"/>
        <w:ind w:firstLine="643" w:firstLineChars="200"/>
        <w:rPr>
          <w:rStyle w:val="17"/>
          <w:rFonts w:hAnsi="仿宋" w:eastAsia="仿宋_GB2312" w:cs="仿宋"/>
          <w:sz w:val="32"/>
          <w:szCs w:val="32"/>
        </w:rPr>
      </w:pPr>
      <w:r>
        <w:rPr>
          <w:rStyle w:val="17"/>
          <w:rFonts w:hint="eastAsia" w:hAnsi="仿宋" w:eastAsia="仿宋_GB2312" w:cs="仿宋"/>
          <w:b/>
          <w:sz w:val="32"/>
          <w:szCs w:val="32"/>
        </w:rPr>
        <w:t>建立深汕劳动纠纷合作解决机制。</w:t>
      </w:r>
      <w:r>
        <w:rPr>
          <w:rStyle w:val="17"/>
          <w:rFonts w:hint="eastAsia" w:hAnsi="仿宋" w:eastAsia="仿宋_GB2312" w:cs="仿宋"/>
          <w:sz w:val="32"/>
          <w:szCs w:val="32"/>
        </w:rPr>
        <w:t>进一步强化劳动保障违法案件信息信用共享，深化深汕监察案件协查、调解仲裁协作、农民工维权服务，加强劳动用工和人才权益保护，促进劳动用工融合及纠纷处理衔接。</w:t>
      </w:r>
    </w:p>
    <w:p>
      <w:pPr>
        <w:pStyle w:val="4"/>
        <w:keepNext w:val="0"/>
        <w:keepLines w:val="0"/>
        <w:pageBreakBefore w:val="0"/>
        <w:kinsoku/>
        <w:wordWrap/>
        <w:overflowPunct/>
        <w:topLinePunct w:val="0"/>
        <w:autoSpaceDE/>
        <w:autoSpaceDN/>
        <w:bidi w:val="0"/>
        <w:adjustRightInd w:val="0"/>
        <w:snapToGrid w:val="0"/>
        <w:spacing w:before="120" w:beforeLines="50" w:after="120" w:afterLines="50" w:line="560" w:lineRule="exact"/>
        <w:ind w:left="200"/>
        <w:jc w:val="center"/>
        <w:rPr>
          <w:rFonts w:ascii="Cambria" w:hAnsi="Cambria" w:eastAsia="楷体_GB2312"/>
          <w:color w:val="000000"/>
          <w:sz w:val="34"/>
        </w:rPr>
      </w:pPr>
      <w:bookmarkStart w:id="22" w:name="_Toc7957"/>
      <w:bookmarkStart w:id="23" w:name="_Toc2819"/>
      <w:r>
        <w:rPr>
          <w:rFonts w:hint="eastAsia" w:ascii="Cambria" w:hAnsi="Cambria" w:eastAsia="楷体_GB2312"/>
          <w:color w:val="000000"/>
          <w:sz w:val="34"/>
        </w:rPr>
        <w:t>第二节  加强人才合作</w:t>
      </w:r>
      <w:bookmarkEnd w:id="22"/>
      <w:bookmarkEnd w:id="23"/>
    </w:p>
    <w:p>
      <w:pPr>
        <w:keepLines w:val="0"/>
        <w:pageBreakBefore w:val="0"/>
        <w:kinsoku/>
        <w:wordWrap/>
        <w:overflowPunct/>
        <w:topLinePunct w:val="0"/>
        <w:autoSpaceDE/>
        <w:autoSpaceDN/>
        <w:bidi w:val="0"/>
        <w:snapToGrid w:val="0"/>
        <w:spacing w:before="0" w:beforeAutospacing="0" w:after="0" w:afterAutospacing="0" w:line="560" w:lineRule="exact"/>
        <w:ind w:firstLine="643" w:firstLineChars="200"/>
        <w:jc w:val="both"/>
        <w:textAlignment w:val="baseline"/>
        <w:rPr>
          <w:rStyle w:val="17"/>
          <w:rFonts w:hAnsi="仿宋" w:eastAsia="仿宋_GB2312" w:cs="仿宋"/>
          <w:b w:val="0"/>
          <w:i w:val="0"/>
          <w:caps w:val="0"/>
          <w:color w:val="auto"/>
          <w:spacing w:val="0"/>
          <w:w w:val="100"/>
          <w:sz w:val="32"/>
          <w:szCs w:val="32"/>
        </w:rPr>
      </w:pPr>
      <w:r>
        <w:rPr>
          <w:rStyle w:val="17"/>
          <w:rFonts w:hint="eastAsia" w:hAnsi="仿宋" w:eastAsia="仿宋_GB2312" w:cs="仿宋"/>
          <w:b/>
          <w:sz w:val="32"/>
          <w:szCs w:val="32"/>
        </w:rPr>
        <w:t>建立人才合作培养机制。</w:t>
      </w:r>
      <w:r>
        <w:rPr>
          <w:rStyle w:val="17"/>
          <w:rFonts w:hint="eastAsia" w:hAnsi="仿宋" w:eastAsia="仿宋_GB2312" w:cs="仿宋"/>
          <w:b w:val="0"/>
          <w:i w:val="0"/>
          <w:caps w:val="0"/>
          <w:color w:val="auto"/>
          <w:spacing w:val="0"/>
          <w:w w:val="100"/>
          <w:sz w:val="32"/>
          <w:szCs w:val="32"/>
        </w:rPr>
        <w:t>利用深圳的职业技术教育资源优势，吸引深圳的职业技术教育机构在汕尾</w:t>
      </w:r>
      <w:r>
        <w:rPr>
          <w:rStyle w:val="17"/>
          <w:rFonts w:hint="eastAsia" w:hAnsi="仿宋" w:eastAsia="仿宋_GB2312" w:cs="仿宋"/>
          <w:b w:val="0"/>
          <w:i w:val="0"/>
          <w:caps w:val="0"/>
          <w:color w:val="auto"/>
          <w:spacing w:val="0"/>
          <w:w w:val="100"/>
          <w:sz w:val="32"/>
          <w:szCs w:val="32"/>
          <w:lang w:eastAsia="zh-CN"/>
        </w:rPr>
        <w:t>城区</w:t>
      </w:r>
      <w:r>
        <w:rPr>
          <w:rStyle w:val="17"/>
          <w:rFonts w:hint="eastAsia" w:hAnsi="仿宋" w:eastAsia="仿宋_GB2312" w:cs="仿宋"/>
          <w:b w:val="0"/>
          <w:i w:val="0"/>
          <w:caps w:val="0"/>
          <w:color w:val="auto"/>
          <w:spacing w:val="0"/>
          <w:w w:val="100"/>
          <w:sz w:val="32"/>
          <w:szCs w:val="32"/>
        </w:rPr>
        <w:t>设立培训点，针对汕尾</w:t>
      </w:r>
      <w:r>
        <w:rPr>
          <w:rStyle w:val="17"/>
          <w:rFonts w:hint="eastAsia" w:hAnsi="仿宋" w:eastAsia="仿宋_GB2312" w:cs="仿宋"/>
          <w:b w:val="0"/>
          <w:i w:val="0"/>
          <w:caps w:val="0"/>
          <w:color w:val="auto"/>
          <w:spacing w:val="0"/>
          <w:w w:val="100"/>
          <w:sz w:val="32"/>
          <w:szCs w:val="32"/>
          <w:lang w:eastAsia="zh-CN"/>
        </w:rPr>
        <w:t>城区</w:t>
      </w:r>
      <w:r>
        <w:rPr>
          <w:rStyle w:val="17"/>
          <w:rFonts w:hint="eastAsia" w:hAnsi="仿宋" w:eastAsia="仿宋_GB2312" w:cs="仿宋"/>
          <w:b w:val="0"/>
          <w:i w:val="0"/>
          <w:caps w:val="0"/>
          <w:color w:val="auto"/>
          <w:spacing w:val="0"/>
          <w:w w:val="100"/>
          <w:sz w:val="32"/>
          <w:szCs w:val="32"/>
        </w:rPr>
        <w:t>的重点产业，大规模开展职业技能培训。支持汕尾、深圳各类职业院校在汕尾</w:t>
      </w:r>
      <w:r>
        <w:rPr>
          <w:rStyle w:val="17"/>
          <w:rFonts w:hint="eastAsia" w:hAnsi="仿宋" w:eastAsia="仿宋_GB2312" w:cs="仿宋"/>
          <w:b w:val="0"/>
          <w:i w:val="0"/>
          <w:caps w:val="0"/>
          <w:color w:val="auto"/>
          <w:spacing w:val="0"/>
          <w:w w:val="100"/>
          <w:sz w:val="32"/>
          <w:szCs w:val="32"/>
          <w:lang w:eastAsia="zh-CN"/>
        </w:rPr>
        <w:t>城区</w:t>
      </w:r>
      <w:r>
        <w:rPr>
          <w:rStyle w:val="17"/>
          <w:rFonts w:hint="eastAsia" w:hAnsi="仿宋" w:eastAsia="仿宋_GB2312" w:cs="仿宋"/>
          <w:b w:val="0"/>
          <w:i w:val="0"/>
          <w:caps w:val="0"/>
          <w:color w:val="auto"/>
          <w:spacing w:val="0"/>
          <w:w w:val="100"/>
          <w:sz w:val="32"/>
          <w:szCs w:val="32"/>
        </w:rPr>
        <w:t>单独或者与企业联合办学。支持汕尾、深圳人才交流、职业介绍等中介机构在汕尾</w:t>
      </w:r>
      <w:r>
        <w:rPr>
          <w:rStyle w:val="17"/>
          <w:rFonts w:hint="eastAsia" w:hAnsi="仿宋" w:eastAsia="仿宋_GB2312" w:cs="仿宋"/>
          <w:b w:val="0"/>
          <w:i w:val="0"/>
          <w:caps w:val="0"/>
          <w:color w:val="auto"/>
          <w:spacing w:val="0"/>
          <w:w w:val="100"/>
          <w:sz w:val="32"/>
          <w:szCs w:val="32"/>
          <w:lang w:eastAsia="zh-CN"/>
        </w:rPr>
        <w:t>城区</w:t>
      </w:r>
      <w:r>
        <w:rPr>
          <w:rStyle w:val="17"/>
          <w:rFonts w:hint="eastAsia" w:hAnsi="仿宋" w:eastAsia="仿宋_GB2312" w:cs="仿宋"/>
          <w:b w:val="0"/>
          <w:i w:val="0"/>
          <w:caps w:val="0"/>
          <w:color w:val="auto"/>
          <w:spacing w:val="0"/>
          <w:w w:val="100"/>
          <w:sz w:val="32"/>
          <w:szCs w:val="32"/>
        </w:rPr>
        <w:t>设立分支机构。依托国内著名高校和深圳研究机构，深化深汕</w:t>
      </w:r>
      <w:r>
        <w:rPr>
          <w:rStyle w:val="17"/>
          <w:rFonts w:hint="eastAsia" w:hAnsi="仿宋" w:eastAsia="仿宋_GB2312" w:cs="仿宋"/>
          <w:b w:val="0"/>
          <w:i w:val="0"/>
          <w:caps w:val="0"/>
          <w:color w:val="auto"/>
          <w:spacing w:val="0"/>
          <w:w w:val="100"/>
          <w:sz w:val="32"/>
          <w:szCs w:val="32"/>
          <w:lang w:eastAsia="zh-CN"/>
        </w:rPr>
        <w:t>高层次</w:t>
      </w:r>
      <w:r>
        <w:rPr>
          <w:rStyle w:val="17"/>
          <w:rFonts w:hint="eastAsia" w:hAnsi="仿宋" w:eastAsia="仿宋_GB2312" w:cs="仿宋"/>
          <w:b w:val="0"/>
          <w:i w:val="0"/>
          <w:caps w:val="0"/>
          <w:color w:val="auto"/>
          <w:spacing w:val="0"/>
          <w:w w:val="100"/>
          <w:sz w:val="32"/>
          <w:szCs w:val="32"/>
        </w:rPr>
        <w:t>人才与项目的合作。</w:t>
      </w:r>
    </w:p>
    <w:p>
      <w:pPr>
        <w:keepLines w:val="0"/>
        <w:pageBreakBefore w:val="0"/>
        <w:kinsoku/>
        <w:wordWrap/>
        <w:overflowPunct/>
        <w:topLinePunct w:val="0"/>
        <w:autoSpaceDE/>
        <w:autoSpaceDN/>
        <w:bidi w:val="0"/>
        <w:snapToGrid w:val="0"/>
        <w:spacing w:before="0" w:beforeAutospacing="0" w:after="0" w:afterAutospacing="0" w:line="560" w:lineRule="exact"/>
        <w:ind w:firstLine="643" w:firstLineChars="200"/>
        <w:jc w:val="both"/>
        <w:textAlignment w:val="baseline"/>
        <w:rPr>
          <w:rStyle w:val="17"/>
          <w:rFonts w:hAnsi="仿宋" w:eastAsia="仿宋_GB2312" w:cs="仿宋"/>
          <w:color w:val="auto"/>
          <w:sz w:val="32"/>
          <w:szCs w:val="32"/>
        </w:rPr>
      </w:pPr>
      <w:r>
        <w:rPr>
          <w:rStyle w:val="17"/>
          <w:rFonts w:hint="eastAsia" w:hAnsi="仿宋" w:eastAsia="仿宋_GB2312" w:cs="仿宋"/>
          <w:b/>
          <w:color w:val="auto"/>
          <w:sz w:val="32"/>
          <w:szCs w:val="32"/>
        </w:rPr>
        <w:t>建立人才交流机制。</w:t>
      </w:r>
      <w:r>
        <w:rPr>
          <w:rStyle w:val="17"/>
          <w:rFonts w:hint="eastAsia" w:hAnsi="仿宋" w:eastAsia="仿宋_GB2312" w:cs="仿宋"/>
          <w:b w:val="0"/>
          <w:i w:val="0"/>
          <w:caps w:val="0"/>
          <w:color w:val="auto"/>
          <w:spacing w:val="0"/>
          <w:w w:val="100"/>
          <w:sz w:val="32"/>
          <w:szCs w:val="32"/>
        </w:rPr>
        <w:t>加强人力资源服务</w:t>
      </w:r>
      <w:r>
        <w:rPr>
          <w:rStyle w:val="17"/>
          <w:rFonts w:hint="eastAsia" w:hAnsi="仿宋" w:eastAsia="仿宋_GB2312" w:cs="仿宋"/>
          <w:b w:val="0"/>
          <w:i w:val="0"/>
          <w:caps w:val="0"/>
          <w:color w:val="auto"/>
          <w:spacing w:val="0"/>
          <w:w w:val="100"/>
          <w:sz w:val="32"/>
          <w:szCs w:val="32"/>
          <w:lang w:eastAsia="zh-CN"/>
        </w:rPr>
        <w:t>合作</w:t>
      </w:r>
      <w:r>
        <w:rPr>
          <w:rStyle w:val="17"/>
          <w:rFonts w:hint="eastAsia" w:hAnsi="仿宋" w:eastAsia="仿宋_GB2312" w:cs="仿宋"/>
          <w:b w:val="0"/>
          <w:i w:val="0"/>
          <w:caps w:val="0"/>
          <w:color w:val="auto"/>
          <w:spacing w:val="0"/>
          <w:w w:val="100"/>
          <w:sz w:val="32"/>
          <w:szCs w:val="32"/>
        </w:rPr>
        <w:t>，促进市场的互融互通和共建共享。举办或承办“高端人才创新创业交流大会”留学生节等人才交流活动，积极邀请深圳及港澳人才、企业、机构参加，加强与深圳的人才合作交流。建立人才协同发展的推进机制、定期会商机制，拓展沟通联系渠道，搭建协调互动平台，密切合作关系。支持鼓励汕尾与深圳人才组织、科技组织、工商企业界、专业服务界、学术界等开展沟通交流，推动两地人才常态化交流合作。</w:t>
      </w:r>
    </w:p>
    <w:p>
      <w:pPr>
        <w:pStyle w:val="4"/>
        <w:keepNext w:val="0"/>
        <w:keepLines w:val="0"/>
        <w:pageBreakBefore w:val="0"/>
        <w:kinsoku/>
        <w:wordWrap/>
        <w:overflowPunct/>
        <w:topLinePunct w:val="0"/>
        <w:autoSpaceDE/>
        <w:autoSpaceDN/>
        <w:bidi w:val="0"/>
        <w:adjustRightInd w:val="0"/>
        <w:snapToGrid w:val="0"/>
        <w:spacing w:before="120" w:beforeLines="50" w:after="120" w:afterLines="50" w:line="560" w:lineRule="exact"/>
        <w:ind w:left="200"/>
        <w:jc w:val="center"/>
        <w:rPr>
          <w:rFonts w:hint="eastAsia" w:ascii="Cambria" w:hAnsi="Cambria" w:eastAsia="楷体_GB2312"/>
          <w:color w:val="000000"/>
          <w:sz w:val="34"/>
        </w:rPr>
      </w:pPr>
      <w:bookmarkStart w:id="24" w:name="_Toc27397"/>
    </w:p>
    <w:p>
      <w:pPr>
        <w:pStyle w:val="4"/>
        <w:keepNext w:val="0"/>
        <w:keepLines w:val="0"/>
        <w:pageBreakBefore w:val="0"/>
        <w:kinsoku/>
        <w:wordWrap/>
        <w:overflowPunct/>
        <w:topLinePunct w:val="0"/>
        <w:autoSpaceDE/>
        <w:autoSpaceDN/>
        <w:bidi w:val="0"/>
        <w:adjustRightInd w:val="0"/>
        <w:snapToGrid w:val="0"/>
        <w:spacing w:before="120" w:beforeLines="50" w:after="120" w:afterLines="50" w:line="560" w:lineRule="exact"/>
        <w:ind w:left="200"/>
        <w:jc w:val="center"/>
        <w:rPr>
          <w:rFonts w:hint="eastAsia" w:ascii="Cambria" w:hAnsi="Cambria" w:eastAsia="楷体_GB2312"/>
          <w:color w:val="000000"/>
          <w:sz w:val="34"/>
        </w:rPr>
      </w:pPr>
      <w:bookmarkStart w:id="25" w:name="_Toc18933"/>
      <w:r>
        <w:rPr>
          <w:rFonts w:hint="eastAsia" w:ascii="Cambria" w:hAnsi="Cambria" w:eastAsia="楷体_GB2312"/>
          <w:color w:val="000000"/>
          <w:sz w:val="34"/>
        </w:rPr>
        <w:t>第三节  推进公共服务一体化发展</w:t>
      </w:r>
      <w:bookmarkEnd w:id="24"/>
      <w:bookmarkEnd w:id="25"/>
    </w:p>
    <w:p/>
    <w:p>
      <w:pPr>
        <w:keepNext w:val="0"/>
        <w:keepLines w:val="0"/>
        <w:pageBreakBefore w:val="0"/>
        <w:widowControl w:val="0"/>
        <w:kinsoku/>
        <w:wordWrap/>
        <w:overflowPunct/>
        <w:topLinePunct w:val="0"/>
        <w:autoSpaceDE/>
        <w:autoSpaceDN/>
        <w:bidi w:val="0"/>
        <w:adjustRightInd w:val="0"/>
        <w:snapToGrid/>
        <w:spacing w:line="600" w:lineRule="exact"/>
        <w:ind w:firstLine="643" w:firstLineChars="200"/>
        <w:textAlignment w:val="auto"/>
        <w:outlineLvl w:val="9"/>
        <w:rPr>
          <w:rStyle w:val="17"/>
          <w:rFonts w:hAnsi="仿宋" w:eastAsia="仿宋_GB2312" w:cs="仿宋"/>
          <w:color w:val="auto"/>
          <w:sz w:val="32"/>
          <w:szCs w:val="32"/>
          <w:highlight w:val="none"/>
        </w:rPr>
      </w:pPr>
      <w:r>
        <w:rPr>
          <w:rStyle w:val="17"/>
          <w:rFonts w:hint="eastAsia" w:hAnsi="仿宋" w:eastAsia="仿宋_GB2312" w:cs="仿宋"/>
          <w:b/>
          <w:sz w:val="32"/>
          <w:szCs w:val="32"/>
        </w:rPr>
        <w:t>推进服务与数据共享。</w:t>
      </w:r>
      <w:r>
        <w:rPr>
          <w:rStyle w:val="17"/>
          <w:rFonts w:hint="eastAsia" w:hAnsi="仿宋" w:eastAsia="仿宋_GB2312" w:cs="仿宋"/>
          <w:b w:val="0"/>
          <w:bCs/>
          <w:color w:val="auto"/>
          <w:sz w:val="32"/>
          <w:szCs w:val="32"/>
        </w:rPr>
        <w:t>主动配合</w:t>
      </w:r>
      <w:r>
        <w:rPr>
          <w:rStyle w:val="17"/>
          <w:rFonts w:hint="eastAsia" w:hAnsi="仿宋" w:eastAsia="仿宋_GB2312" w:cs="仿宋"/>
          <w:color w:val="auto"/>
          <w:sz w:val="32"/>
          <w:szCs w:val="32"/>
          <w:highlight w:val="none"/>
        </w:rPr>
        <w:t>推进汕尾、深圳</w:t>
      </w:r>
      <w:r>
        <w:rPr>
          <w:rStyle w:val="17"/>
          <w:rFonts w:hint="eastAsia" w:hAnsi="仿宋" w:eastAsia="仿宋_GB2312" w:cs="仿宋"/>
          <w:color w:val="auto"/>
          <w:sz w:val="32"/>
          <w:szCs w:val="32"/>
          <w:highlight w:val="none"/>
          <w:lang w:val="en-US" w:eastAsia="zh-CN"/>
        </w:rPr>
        <w:t>人社政务</w:t>
      </w:r>
      <w:r>
        <w:rPr>
          <w:rStyle w:val="17"/>
          <w:rFonts w:hint="eastAsia" w:hAnsi="仿宋" w:eastAsia="仿宋_GB2312" w:cs="仿宋"/>
          <w:color w:val="auto"/>
          <w:sz w:val="32"/>
          <w:szCs w:val="32"/>
          <w:highlight w:val="none"/>
        </w:rPr>
        <w:t>服务</w:t>
      </w:r>
      <w:r>
        <w:rPr>
          <w:rStyle w:val="17"/>
          <w:rFonts w:hint="eastAsia" w:hAnsi="仿宋" w:eastAsia="仿宋_GB2312" w:cs="仿宋"/>
          <w:color w:val="auto"/>
          <w:sz w:val="32"/>
          <w:szCs w:val="32"/>
          <w:highlight w:val="none"/>
          <w:lang w:val="en-US" w:eastAsia="zh-CN"/>
        </w:rPr>
        <w:t>数据资源互通共享，实现人社政务服务“跨城通办”“一网通办”</w:t>
      </w:r>
      <w:r>
        <w:rPr>
          <w:rStyle w:val="17"/>
          <w:rFonts w:hint="eastAsia" w:hAnsi="仿宋" w:eastAsia="仿宋_GB2312" w:cs="仿宋"/>
          <w:color w:val="auto"/>
          <w:sz w:val="32"/>
          <w:szCs w:val="32"/>
          <w:highlight w:val="none"/>
        </w:rPr>
        <w:t>，探索推进社会保障卡“一卡多用、区域通用”。</w:t>
      </w:r>
    </w:p>
    <w:p>
      <w:pPr>
        <w:keepLines w:val="0"/>
        <w:pageBreakBefore w:val="0"/>
        <w:kinsoku/>
        <w:wordWrap/>
        <w:overflowPunct/>
        <w:topLinePunct w:val="0"/>
        <w:autoSpaceDE/>
        <w:autoSpaceDN/>
        <w:bidi w:val="0"/>
        <w:adjustRightInd w:val="0"/>
        <w:spacing w:line="560" w:lineRule="exact"/>
        <w:ind w:firstLine="643" w:firstLineChars="200"/>
      </w:pPr>
      <w:r>
        <w:rPr>
          <w:rStyle w:val="17"/>
          <w:rFonts w:hint="eastAsia" w:hAnsi="仿宋" w:eastAsia="仿宋_GB2312" w:cs="仿宋"/>
          <w:b/>
          <w:sz w:val="32"/>
          <w:szCs w:val="32"/>
        </w:rPr>
        <w:t>探索养老保险规则衔接。</w:t>
      </w:r>
      <w:r>
        <w:rPr>
          <w:rStyle w:val="17"/>
          <w:rFonts w:hint="eastAsia" w:hAnsi="仿宋" w:eastAsia="仿宋_GB2312" w:cs="仿宋"/>
          <w:sz w:val="32"/>
          <w:szCs w:val="32"/>
        </w:rPr>
        <w:t>主动配合深圳先行示范区和深汕合作区重大战略建设，按省</w:t>
      </w:r>
      <w:r>
        <w:rPr>
          <w:rStyle w:val="17"/>
          <w:rFonts w:hint="eastAsia" w:hAnsi="仿宋" w:eastAsia="仿宋_GB2312" w:cs="仿宋"/>
          <w:sz w:val="32"/>
          <w:szCs w:val="32"/>
          <w:lang w:eastAsia="zh-CN"/>
        </w:rPr>
        <w:t>、市</w:t>
      </w:r>
      <w:r>
        <w:rPr>
          <w:rStyle w:val="17"/>
          <w:rFonts w:hint="eastAsia" w:hAnsi="仿宋" w:eastAsia="仿宋_GB2312" w:cs="仿宋"/>
          <w:sz w:val="32"/>
          <w:szCs w:val="32"/>
        </w:rPr>
        <w:t>的部署</w:t>
      </w:r>
      <w:r>
        <w:rPr>
          <w:rStyle w:val="17"/>
          <w:rFonts w:hint="eastAsia" w:hAnsi="仿宋" w:eastAsia="仿宋_GB2312" w:cs="仿宋"/>
          <w:color w:val="auto"/>
          <w:sz w:val="32"/>
          <w:szCs w:val="32"/>
        </w:rPr>
        <w:t>，加强与深汕合作区的沟通协作，进一步深入探索养老保</w:t>
      </w:r>
      <w:r>
        <w:rPr>
          <w:rStyle w:val="17"/>
          <w:rFonts w:hint="eastAsia" w:hAnsi="仿宋" w:eastAsia="仿宋_GB2312" w:cs="仿宋"/>
          <w:sz w:val="32"/>
          <w:szCs w:val="32"/>
        </w:rPr>
        <w:t>险规则对接、关系衔接，方便两地人员参保，促进各类人才流动。</w:t>
      </w:r>
    </w:p>
    <w:p>
      <w:pPr>
        <w:pStyle w:val="3"/>
        <w:keepLines w:val="0"/>
        <w:pageBreakBefore w:val="0"/>
        <w:kinsoku/>
        <w:wordWrap/>
        <w:overflowPunct/>
        <w:topLinePunct w:val="0"/>
        <w:autoSpaceDE/>
        <w:autoSpaceDN/>
        <w:bidi w:val="0"/>
        <w:adjustRightInd w:val="0"/>
        <w:snapToGrid w:val="0"/>
        <w:spacing w:before="120" w:beforeLines="50" w:after="120" w:afterLines="50" w:line="560" w:lineRule="exact"/>
        <w:jc w:val="center"/>
        <w:rPr>
          <w:rFonts w:hint="eastAsia" w:ascii="Calibri" w:hAnsi="Calibri" w:eastAsia="黑体"/>
          <w:sz w:val="44"/>
          <w:szCs w:val="44"/>
          <w:lang w:val="en-US" w:eastAsia="zh-CN"/>
        </w:rPr>
      </w:pPr>
      <w:bookmarkStart w:id="26" w:name="_Toc1573"/>
      <w:bookmarkStart w:id="27" w:name="_Toc1966"/>
    </w:p>
    <w:p>
      <w:pPr>
        <w:rPr>
          <w:rFonts w:hint="eastAsia"/>
          <w:lang w:val="en-US" w:eastAsia="zh-CN"/>
        </w:rPr>
      </w:pPr>
    </w:p>
    <w:p>
      <w:pPr>
        <w:pStyle w:val="3"/>
        <w:keepLines w:val="0"/>
        <w:pageBreakBefore w:val="0"/>
        <w:kinsoku/>
        <w:wordWrap/>
        <w:overflowPunct/>
        <w:topLinePunct w:val="0"/>
        <w:autoSpaceDE/>
        <w:autoSpaceDN/>
        <w:bidi w:val="0"/>
        <w:adjustRightInd w:val="0"/>
        <w:snapToGrid w:val="0"/>
        <w:spacing w:before="120" w:beforeLines="50" w:after="120" w:afterLines="50" w:line="560" w:lineRule="exact"/>
        <w:jc w:val="center"/>
        <w:rPr>
          <w:rFonts w:ascii="Calibri" w:hAnsi="Calibri" w:eastAsia="黑体"/>
          <w:sz w:val="44"/>
          <w:szCs w:val="44"/>
          <w:lang w:val="en-US" w:eastAsia="zh-CN"/>
        </w:rPr>
      </w:pPr>
      <w:bookmarkStart w:id="28" w:name="_Toc2604"/>
      <w:r>
        <w:rPr>
          <w:rFonts w:hint="eastAsia" w:ascii="Calibri" w:hAnsi="Calibri" w:eastAsia="黑体"/>
          <w:sz w:val="44"/>
          <w:szCs w:val="44"/>
          <w:lang w:val="en-US" w:eastAsia="zh-CN"/>
        </w:rPr>
        <w:t>第四章  实现更加充分更高质量就</w:t>
      </w:r>
      <w:bookmarkEnd w:id="26"/>
      <w:r>
        <w:rPr>
          <w:rFonts w:hint="eastAsia" w:ascii="Calibri" w:hAnsi="Calibri" w:eastAsia="黑体"/>
          <w:sz w:val="44"/>
          <w:szCs w:val="44"/>
          <w:lang w:val="en-US" w:eastAsia="zh-CN"/>
        </w:rPr>
        <w:t>业</w:t>
      </w:r>
      <w:bookmarkEnd w:id="27"/>
      <w:bookmarkEnd w:id="28"/>
    </w:p>
    <w:p>
      <w:pPr>
        <w:keepLines w:val="0"/>
        <w:pageBreakBefore w:val="0"/>
        <w:kinsoku/>
        <w:wordWrap/>
        <w:overflowPunct/>
        <w:topLinePunct w:val="0"/>
        <w:autoSpaceDE/>
        <w:autoSpaceDN/>
        <w:bidi w:val="0"/>
        <w:adjustRightInd w:val="0"/>
        <w:snapToGrid w:val="0"/>
        <w:spacing w:line="560" w:lineRule="exact"/>
        <w:ind w:firstLine="640" w:firstLineChars="200"/>
        <w:rPr>
          <w:rFonts w:hint="eastAsia" w:ascii="仿宋_GB2312" w:eastAsia="仿宋_GB2312" w:hAnsiTheme="minorEastAsia"/>
          <w:sz w:val="32"/>
          <w:szCs w:val="32"/>
        </w:rPr>
      </w:pPr>
    </w:p>
    <w:p>
      <w:pPr>
        <w:keepLines w:val="0"/>
        <w:pageBreakBefore w:val="0"/>
        <w:kinsoku/>
        <w:wordWrap/>
        <w:overflowPunct/>
        <w:topLinePunct w:val="0"/>
        <w:autoSpaceDE/>
        <w:autoSpaceDN/>
        <w:bidi w:val="0"/>
        <w:adjustRightInd w:val="0"/>
        <w:snapToGrid w:val="0"/>
        <w:spacing w:line="560" w:lineRule="exact"/>
        <w:ind w:firstLine="640" w:firstLineChars="200"/>
        <w:rPr>
          <w:rFonts w:hint="eastAsia" w:ascii="仿宋_GB2312" w:eastAsia="仿宋_GB2312" w:hAnsiTheme="minorEastAsia"/>
          <w:sz w:val="32"/>
          <w:szCs w:val="32"/>
        </w:rPr>
      </w:pPr>
      <w:r>
        <w:rPr>
          <w:rFonts w:hint="eastAsia" w:ascii="仿宋_GB2312" w:eastAsia="仿宋_GB2312" w:hAnsiTheme="minorEastAsia"/>
          <w:sz w:val="32"/>
          <w:szCs w:val="32"/>
        </w:rPr>
        <w:t>坚持就业优先战略和积极就业政策，注重解决就业结构性矛盾，鼓励创业带动就业，推进全方位公共就业服务</w:t>
      </w:r>
      <w:r>
        <w:rPr>
          <w:rFonts w:hint="eastAsia" w:ascii="仿宋_GB2312" w:hAnsi="宋体" w:eastAsia="仿宋_GB2312"/>
          <w:color w:val="auto"/>
          <w:sz w:val="32"/>
          <w:szCs w:val="32"/>
          <w:highlight w:val="none"/>
        </w:rPr>
        <w:t>，推动就业稳定增长，有效防范化解失业风险，确保就业局势总体稳定。</w:t>
      </w:r>
    </w:p>
    <w:p>
      <w:pPr>
        <w:pStyle w:val="2"/>
        <w:rPr>
          <w:rFonts w:hint="eastAsia"/>
        </w:rPr>
      </w:pPr>
    </w:p>
    <w:p>
      <w:pPr>
        <w:pStyle w:val="4"/>
        <w:keepNext w:val="0"/>
        <w:keepLines w:val="0"/>
        <w:pageBreakBefore w:val="0"/>
        <w:kinsoku/>
        <w:wordWrap/>
        <w:overflowPunct/>
        <w:topLinePunct w:val="0"/>
        <w:autoSpaceDE/>
        <w:autoSpaceDN/>
        <w:bidi w:val="0"/>
        <w:adjustRightInd w:val="0"/>
        <w:snapToGrid w:val="0"/>
        <w:spacing w:before="120" w:beforeLines="50" w:after="120" w:afterLines="50" w:line="560" w:lineRule="exact"/>
        <w:ind w:left="200"/>
        <w:jc w:val="center"/>
        <w:rPr>
          <w:rFonts w:hint="eastAsia" w:ascii="Cambria" w:hAnsi="Cambria" w:eastAsia="楷体_GB2312"/>
          <w:color w:val="000000"/>
          <w:sz w:val="34"/>
        </w:rPr>
      </w:pPr>
      <w:bookmarkStart w:id="29" w:name="_Toc5271"/>
      <w:bookmarkStart w:id="30" w:name="_Toc4212"/>
      <w:r>
        <w:rPr>
          <w:rFonts w:hint="eastAsia" w:ascii="Cambria" w:hAnsi="Cambria" w:eastAsia="楷体_GB2312"/>
          <w:color w:val="000000"/>
          <w:sz w:val="34"/>
        </w:rPr>
        <w:t>第一节  强化就业政策引导效能</w:t>
      </w:r>
      <w:bookmarkEnd w:id="29"/>
      <w:bookmarkEnd w:id="30"/>
    </w:p>
    <w:p>
      <w:pPr>
        <w:keepLines w:val="0"/>
        <w:pageBreakBefore w:val="0"/>
        <w:kinsoku/>
        <w:wordWrap/>
        <w:overflowPunct/>
        <w:topLinePunct w:val="0"/>
        <w:autoSpaceDE/>
        <w:autoSpaceDN/>
        <w:bidi w:val="0"/>
        <w:adjustRightInd w:val="0"/>
        <w:snapToGrid w:val="0"/>
        <w:spacing w:line="560" w:lineRule="exact"/>
        <w:ind w:firstLine="643" w:firstLineChars="200"/>
        <w:rPr>
          <w:rFonts w:ascii="仿宋_GB2312" w:eastAsia="仿宋_GB2312" w:hAnsiTheme="minorEastAsia"/>
          <w:color w:val="auto"/>
          <w:sz w:val="32"/>
          <w:szCs w:val="32"/>
        </w:rPr>
      </w:pPr>
      <w:r>
        <w:rPr>
          <w:rFonts w:hint="eastAsia" w:ascii="仿宋_GB2312" w:eastAsia="仿宋_GB2312" w:hAnsiTheme="minorEastAsia"/>
          <w:b/>
          <w:sz w:val="32"/>
          <w:szCs w:val="32"/>
        </w:rPr>
        <w:t>突出就业优先目标导向。</w:t>
      </w:r>
      <w:r>
        <w:rPr>
          <w:rFonts w:hint="eastAsia" w:ascii="仿宋_GB2312" w:eastAsia="仿宋_GB2312" w:hAnsiTheme="minorEastAsia"/>
          <w:color w:val="auto"/>
          <w:sz w:val="32"/>
          <w:szCs w:val="32"/>
        </w:rPr>
        <w:t>完善就业优先政策体系，坚持把稳定和扩大就业作为经济社会发展的优先目标和经济运行合理区间的下限，将保</w:t>
      </w:r>
      <w:r>
        <w:rPr>
          <w:rFonts w:hint="eastAsia" w:ascii="仿宋_GB2312" w:eastAsia="仿宋_GB2312" w:hAnsiTheme="minorEastAsia"/>
          <w:color w:val="auto"/>
          <w:sz w:val="32"/>
          <w:szCs w:val="32"/>
          <w:lang w:eastAsia="zh-CN"/>
        </w:rPr>
        <w:t>群众</w:t>
      </w:r>
      <w:r>
        <w:rPr>
          <w:rFonts w:hint="eastAsia" w:ascii="仿宋_GB2312" w:eastAsia="仿宋_GB2312" w:hAnsiTheme="minorEastAsia"/>
          <w:color w:val="auto"/>
          <w:sz w:val="32"/>
          <w:szCs w:val="32"/>
        </w:rPr>
        <w:t>就业作为经济工作的底线，提升产业带动就业能力，扶持稳定市场主体增加就业岗位，促进实现更高质量和更充分就业。压实</w:t>
      </w:r>
      <w:r>
        <w:rPr>
          <w:rFonts w:hint="eastAsia" w:ascii="仿宋_GB2312" w:eastAsia="仿宋_GB2312" w:hAnsiTheme="minorEastAsia"/>
          <w:color w:val="auto"/>
          <w:sz w:val="32"/>
          <w:szCs w:val="32"/>
          <w:lang w:eastAsia="zh-CN"/>
        </w:rPr>
        <w:t>镇（街）</w:t>
      </w:r>
      <w:r>
        <w:rPr>
          <w:rFonts w:hint="eastAsia" w:ascii="仿宋_GB2312" w:eastAsia="仿宋_GB2312" w:hAnsiTheme="minorEastAsia"/>
          <w:color w:val="auto"/>
          <w:sz w:val="32"/>
          <w:szCs w:val="32"/>
        </w:rPr>
        <w:t>促就业主体责任和各职能部门工作责任，加强对就业工作统筹领导。建立健全常态化促进就业协同联动机制，形成工作合力。培育新的就业增长点。</w:t>
      </w:r>
    </w:p>
    <w:p>
      <w:pPr>
        <w:keepLines w:val="0"/>
        <w:pageBreakBefore w:val="0"/>
        <w:kinsoku/>
        <w:wordWrap/>
        <w:overflowPunct/>
        <w:topLinePunct w:val="0"/>
        <w:autoSpaceDE/>
        <w:autoSpaceDN/>
        <w:bidi w:val="0"/>
        <w:adjustRightInd w:val="0"/>
        <w:snapToGrid w:val="0"/>
        <w:spacing w:line="560" w:lineRule="exact"/>
        <w:ind w:firstLine="643" w:firstLineChars="200"/>
        <w:rPr>
          <w:rFonts w:hint="eastAsia" w:ascii="仿宋_GB2312" w:eastAsia="仿宋_GB2312" w:hAnsiTheme="minorEastAsia"/>
          <w:color w:val="auto"/>
          <w:sz w:val="32"/>
          <w:szCs w:val="32"/>
        </w:rPr>
      </w:pPr>
      <w:r>
        <w:rPr>
          <w:rFonts w:hint="eastAsia" w:ascii="仿宋_GB2312" w:eastAsia="仿宋_GB2312" w:hAnsiTheme="minorEastAsia"/>
          <w:b/>
          <w:color w:val="auto"/>
          <w:sz w:val="32"/>
          <w:szCs w:val="32"/>
        </w:rPr>
        <w:t>防范化解失业风险。</w:t>
      </w:r>
      <w:r>
        <w:rPr>
          <w:rFonts w:hint="eastAsia" w:ascii="仿宋_GB2312" w:eastAsia="仿宋_GB2312" w:hAnsiTheme="minorEastAsia"/>
          <w:color w:val="auto"/>
          <w:sz w:val="32"/>
          <w:szCs w:val="32"/>
        </w:rPr>
        <w:t>健全多部门就业形势会商研判机制，多维度开展就业失业风险研判。突出做好高校毕业生、异地务工人员、退役军人等重点群体就业工作，全力做好就业困难人员就业援助。提供全方位公共就业服务，及时为失业人员开展失业登记、失业保险发放、推荐就业等服务。畅通劳动关系信息传递渠道，妥善处置企业规模裁员，稳妥处置突发事件和群体性事件。切实防范规模性失业风险，守住风险防控底线。</w:t>
      </w:r>
    </w:p>
    <w:p>
      <w:pPr>
        <w:pStyle w:val="4"/>
        <w:keepNext w:val="0"/>
        <w:keepLines w:val="0"/>
        <w:pageBreakBefore w:val="0"/>
        <w:kinsoku/>
        <w:wordWrap/>
        <w:overflowPunct/>
        <w:topLinePunct w:val="0"/>
        <w:autoSpaceDE/>
        <w:autoSpaceDN/>
        <w:bidi w:val="0"/>
        <w:adjustRightInd w:val="0"/>
        <w:snapToGrid w:val="0"/>
        <w:spacing w:before="120" w:beforeLines="50" w:after="120" w:afterLines="50" w:line="560" w:lineRule="exact"/>
        <w:ind w:left="200"/>
        <w:jc w:val="center"/>
        <w:rPr>
          <w:rFonts w:hint="eastAsia" w:ascii="Cambria" w:hAnsi="Cambria" w:eastAsia="楷体_GB2312"/>
          <w:color w:val="auto"/>
          <w:sz w:val="34"/>
        </w:rPr>
      </w:pPr>
      <w:bookmarkStart w:id="31" w:name="_Toc31056"/>
    </w:p>
    <w:p>
      <w:pPr>
        <w:pStyle w:val="4"/>
        <w:keepNext w:val="0"/>
        <w:keepLines w:val="0"/>
        <w:pageBreakBefore w:val="0"/>
        <w:kinsoku/>
        <w:wordWrap/>
        <w:overflowPunct/>
        <w:topLinePunct w:val="0"/>
        <w:autoSpaceDE/>
        <w:autoSpaceDN/>
        <w:bidi w:val="0"/>
        <w:adjustRightInd w:val="0"/>
        <w:snapToGrid w:val="0"/>
        <w:spacing w:before="120" w:beforeLines="50" w:after="120" w:afterLines="50" w:line="560" w:lineRule="exact"/>
        <w:ind w:left="200"/>
        <w:jc w:val="center"/>
        <w:rPr>
          <w:rFonts w:hint="eastAsia" w:ascii="Cambria" w:hAnsi="Cambria" w:eastAsia="楷体_GB2312"/>
          <w:color w:val="auto"/>
          <w:sz w:val="34"/>
        </w:rPr>
      </w:pPr>
      <w:bookmarkStart w:id="32" w:name="_Toc3479"/>
      <w:r>
        <w:rPr>
          <w:rFonts w:hint="eastAsia" w:ascii="Cambria" w:hAnsi="Cambria" w:eastAsia="楷体_GB2312"/>
          <w:color w:val="auto"/>
          <w:sz w:val="34"/>
        </w:rPr>
        <w:t>第二节  促进创业带动就业</w:t>
      </w:r>
      <w:bookmarkEnd w:id="31"/>
      <w:bookmarkEnd w:id="32"/>
    </w:p>
    <w:p>
      <w:pPr>
        <w:keepLines w:val="0"/>
        <w:pageBreakBefore w:val="0"/>
        <w:kinsoku/>
        <w:wordWrap/>
        <w:overflowPunct/>
        <w:topLinePunct w:val="0"/>
        <w:autoSpaceDE/>
        <w:autoSpaceDN/>
        <w:bidi w:val="0"/>
        <w:adjustRightInd w:val="0"/>
        <w:snapToGrid w:val="0"/>
        <w:spacing w:line="560" w:lineRule="exact"/>
        <w:ind w:firstLine="643" w:firstLineChars="200"/>
        <w:rPr>
          <w:rFonts w:ascii="仿宋_GB2312" w:eastAsia="仿宋_GB2312" w:hAnsiTheme="minorEastAsia"/>
          <w:b/>
          <w:color w:val="auto"/>
          <w:sz w:val="32"/>
          <w:szCs w:val="32"/>
        </w:rPr>
      </w:pPr>
      <w:r>
        <w:rPr>
          <w:rFonts w:hint="eastAsia" w:ascii="仿宋_GB2312" w:eastAsia="仿宋_GB2312" w:hAnsiTheme="minorEastAsia"/>
          <w:b/>
          <w:color w:val="auto"/>
          <w:sz w:val="32"/>
          <w:szCs w:val="32"/>
        </w:rPr>
        <w:t>推动“双创”升级发展。</w:t>
      </w:r>
      <w:r>
        <w:rPr>
          <w:rFonts w:hint="eastAsia" w:ascii="仿宋_GB2312" w:eastAsia="仿宋_GB2312" w:hAnsiTheme="minorEastAsia"/>
          <w:color w:val="auto"/>
          <w:sz w:val="32"/>
          <w:szCs w:val="32"/>
        </w:rPr>
        <w:t>通过创业和再创业，推动传统产业转型升级，促进新技术与传统产业融合，让传统产业焕发新活力、释放新动能。加快新兴产业的创业载体培育，深入实施创新驱动和“互联网+”等发展战略，发展电子信息、高端装备等新兴产业的创业载体。促进成果顺畅转化，搭建创业成果转化平台，健全资源开放共享机制，鼓励高层次人才面向企业开展技术开发、技术咨询、技术培训等活动，实现人才创业、企业创新与产业升级深度融合。</w:t>
      </w:r>
    </w:p>
    <w:p>
      <w:pPr>
        <w:keepLines w:val="0"/>
        <w:pageBreakBefore w:val="0"/>
        <w:kinsoku/>
        <w:wordWrap/>
        <w:overflowPunct/>
        <w:topLinePunct w:val="0"/>
        <w:autoSpaceDE/>
        <w:autoSpaceDN/>
        <w:bidi w:val="0"/>
        <w:adjustRightInd w:val="0"/>
        <w:snapToGrid w:val="0"/>
        <w:spacing w:line="560" w:lineRule="exact"/>
        <w:ind w:firstLine="643" w:firstLineChars="200"/>
        <w:rPr>
          <w:rFonts w:ascii="仿宋_GB2312" w:eastAsia="仿宋_GB2312" w:hAnsiTheme="minorEastAsia"/>
          <w:b/>
          <w:color w:val="auto"/>
          <w:sz w:val="32"/>
          <w:szCs w:val="32"/>
        </w:rPr>
      </w:pPr>
      <w:r>
        <w:rPr>
          <w:rFonts w:hint="eastAsia" w:ascii="仿宋_GB2312" w:eastAsia="仿宋_GB2312" w:hAnsiTheme="minorEastAsia"/>
          <w:b/>
          <w:color w:val="auto"/>
          <w:sz w:val="32"/>
          <w:szCs w:val="32"/>
        </w:rPr>
        <w:t>进一步扩大创业扶持面。</w:t>
      </w:r>
      <w:r>
        <w:rPr>
          <w:rFonts w:hint="eastAsia" w:ascii="仿宋_GB2312" w:eastAsia="仿宋_GB2312" w:hAnsiTheme="minorEastAsia"/>
          <w:color w:val="auto"/>
          <w:sz w:val="32"/>
          <w:szCs w:val="32"/>
        </w:rPr>
        <w:t>不断提高大中专毕业生创业比例，全力推动城镇就业困难人员、大中专毕业生、农村富余劳动力创业促就业工作。建立和完善政府牵头，人社、市场监督管理、税务、银行、财政、教育、工商联、共青团、妇联等部门定期联系协调机制，进一步加强部门之间的配合，全面认真落实中央、省、市</w:t>
      </w:r>
      <w:r>
        <w:rPr>
          <w:rFonts w:hint="eastAsia" w:ascii="仿宋_GB2312" w:eastAsia="仿宋_GB2312" w:hAnsiTheme="minorEastAsia"/>
          <w:color w:val="auto"/>
          <w:sz w:val="32"/>
          <w:szCs w:val="32"/>
          <w:lang w:eastAsia="zh-CN"/>
        </w:rPr>
        <w:t>、区</w:t>
      </w:r>
      <w:r>
        <w:rPr>
          <w:rFonts w:hint="eastAsia" w:ascii="仿宋_GB2312" w:eastAsia="仿宋_GB2312" w:hAnsiTheme="minorEastAsia"/>
          <w:color w:val="auto"/>
          <w:sz w:val="32"/>
          <w:szCs w:val="32"/>
        </w:rPr>
        <w:t xml:space="preserve">制定的各项扶持和优惠政策。 </w:t>
      </w:r>
    </w:p>
    <w:p>
      <w:pPr>
        <w:pStyle w:val="4"/>
        <w:keepNext w:val="0"/>
        <w:keepLines w:val="0"/>
        <w:pageBreakBefore w:val="0"/>
        <w:kinsoku/>
        <w:wordWrap/>
        <w:overflowPunct/>
        <w:topLinePunct w:val="0"/>
        <w:autoSpaceDE/>
        <w:autoSpaceDN/>
        <w:bidi w:val="0"/>
        <w:adjustRightInd w:val="0"/>
        <w:snapToGrid w:val="0"/>
        <w:spacing w:before="120" w:beforeLines="50" w:after="120" w:afterLines="50" w:line="560" w:lineRule="exact"/>
        <w:ind w:left="200"/>
        <w:jc w:val="center"/>
        <w:rPr>
          <w:rFonts w:hint="eastAsia" w:ascii="Cambria" w:hAnsi="Cambria" w:eastAsia="楷体_GB2312"/>
          <w:color w:val="auto"/>
          <w:sz w:val="34"/>
        </w:rPr>
      </w:pPr>
      <w:bookmarkStart w:id="33" w:name="_Toc11650"/>
      <w:bookmarkStart w:id="34" w:name="_Toc5863"/>
      <w:r>
        <w:rPr>
          <w:rFonts w:hint="eastAsia" w:ascii="Cambria" w:hAnsi="Cambria" w:eastAsia="楷体_GB2312"/>
          <w:color w:val="auto"/>
          <w:sz w:val="34"/>
        </w:rPr>
        <w:t>第三节  完善重点群体就业支持体系</w:t>
      </w:r>
      <w:bookmarkEnd w:id="33"/>
      <w:bookmarkEnd w:id="34"/>
    </w:p>
    <w:p>
      <w:pPr>
        <w:keepLines w:val="0"/>
        <w:pageBreakBefore w:val="0"/>
        <w:kinsoku/>
        <w:wordWrap/>
        <w:overflowPunct/>
        <w:topLinePunct w:val="0"/>
        <w:autoSpaceDE/>
        <w:autoSpaceDN/>
        <w:bidi w:val="0"/>
        <w:adjustRightInd w:val="0"/>
        <w:snapToGrid w:val="0"/>
        <w:spacing w:line="560" w:lineRule="exact"/>
        <w:ind w:firstLine="643" w:firstLineChars="200"/>
        <w:rPr>
          <w:rFonts w:ascii="仿宋_GB2312" w:eastAsia="仿宋_GB2312" w:hAnsiTheme="minorEastAsia"/>
          <w:color w:val="auto"/>
          <w:sz w:val="32"/>
          <w:szCs w:val="32"/>
        </w:rPr>
      </w:pPr>
      <w:r>
        <w:rPr>
          <w:rFonts w:hint="eastAsia" w:ascii="仿宋_GB2312" w:eastAsia="仿宋_GB2312" w:hAnsiTheme="minorEastAsia"/>
          <w:b/>
          <w:color w:val="auto"/>
          <w:sz w:val="32"/>
          <w:szCs w:val="32"/>
        </w:rPr>
        <w:t>促进大中专毕业生就业创业。</w:t>
      </w:r>
      <w:r>
        <w:rPr>
          <w:rFonts w:hint="eastAsia" w:ascii="仿宋_GB2312" w:eastAsia="仿宋_GB2312" w:hAnsiTheme="minorEastAsia"/>
          <w:color w:val="auto"/>
          <w:sz w:val="32"/>
          <w:szCs w:val="32"/>
        </w:rPr>
        <w:t>将大中专毕业生就业作为重中之重，畅通毕业生到国有企业、民营企业、事业单位、基层岗位等就业渠道，健全就业指导、职业培训、就业见习等服务机制，鼓励支持多渠道就业创业。鼓励大中专毕业生到基层就业，组织实施好“三支一扶计划”(支教、支农、支医和帮扶乡村振兴</w:t>
      </w:r>
      <w:r>
        <w:rPr>
          <w:rFonts w:hint="eastAsia" w:ascii="仿宋_GB2312" w:eastAsia="仿宋_GB2312" w:hAnsiTheme="minorEastAsia"/>
          <w:color w:val="auto"/>
          <w:sz w:val="32"/>
          <w:szCs w:val="32"/>
        </w:rPr>
        <w:t>)和基层成长计划。引导毕业生到中小企业和非公有制单位就业，支持毕业生入伍投身国防建设，鼓励毕业生自主创业、灵活就业和跨地区就业等，促进毕业生充分就业。</w:t>
      </w:r>
    </w:p>
    <w:p>
      <w:pPr>
        <w:keepLines w:val="0"/>
        <w:pageBreakBefore w:val="0"/>
        <w:kinsoku/>
        <w:wordWrap/>
        <w:overflowPunct/>
        <w:topLinePunct w:val="0"/>
        <w:autoSpaceDE/>
        <w:autoSpaceDN/>
        <w:bidi w:val="0"/>
        <w:adjustRightInd w:val="0"/>
        <w:snapToGrid w:val="0"/>
        <w:spacing w:line="560" w:lineRule="exact"/>
        <w:ind w:firstLine="643" w:firstLineChars="200"/>
        <w:rPr>
          <w:rFonts w:ascii="仿宋_GB2312" w:eastAsia="仿宋_GB2312" w:hAnsiTheme="minorEastAsia"/>
          <w:color w:val="auto"/>
          <w:sz w:val="32"/>
          <w:szCs w:val="32"/>
        </w:rPr>
      </w:pPr>
      <w:r>
        <w:rPr>
          <w:rFonts w:hint="eastAsia" w:ascii="仿宋_GB2312" w:eastAsia="仿宋_GB2312" w:hAnsiTheme="minorEastAsia"/>
          <w:b/>
          <w:color w:val="auto"/>
          <w:sz w:val="32"/>
          <w:szCs w:val="32"/>
        </w:rPr>
        <w:t>促进异地务工人员稳定就业。</w:t>
      </w:r>
      <w:r>
        <w:rPr>
          <w:rFonts w:hint="eastAsia" w:ascii="仿宋_GB2312" w:eastAsia="仿宋_GB2312" w:hAnsiTheme="minorEastAsia"/>
          <w:color w:val="auto"/>
          <w:sz w:val="32"/>
          <w:szCs w:val="32"/>
        </w:rPr>
        <w:t>推动农村劳动力多渠道就业和多元化发展，持续推进</w:t>
      </w:r>
      <w:r>
        <w:rPr>
          <w:rFonts w:hint="eastAsia" w:ascii="仿宋_GB2312" w:eastAsia="仿宋_GB2312" w:hAnsiTheme="minorEastAsia"/>
          <w:color w:val="auto"/>
          <w:sz w:val="32"/>
          <w:szCs w:val="32"/>
          <w:lang w:eastAsia="zh-CN"/>
        </w:rPr>
        <w:t>农</w:t>
      </w:r>
      <w:bookmarkStart w:id="110" w:name="_GoBack"/>
      <w:bookmarkEnd w:id="110"/>
      <w:r>
        <w:rPr>
          <w:rFonts w:hint="eastAsia" w:ascii="仿宋_GB2312" w:eastAsia="仿宋_GB2312" w:hAnsiTheme="minorEastAsia"/>
          <w:color w:val="auto"/>
          <w:sz w:val="32"/>
          <w:szCs w:val="32"/>
          <w:lang w:eastAsia="zh-CN"/>
        </w:rPr>
        <w:t>村</w:t>
      </w:r>
      <w:r>
        <w:rPr>
          <w:rFonts w:hint="eastAsia" w:ascii="仿宋_GB2312" w:eastAsia="仿宋_GB2312" w:hAnsiTheme="minorEastAsia"/>
          <w:color w:val="auto"/>
          <w:sz w:val="32"/>
          <w:szCs w:val="32"/>
        </w:rPr>
        <w:t>富余劳动力进城务工、跨地区有序流动并稳定生活，落实</w:t>
      </w:r>
      <w:r>
        <w:rPr>
          <w:rFonts w:hint="eastAsia" w:ascii="仿宋_GB2312" w:eastAsia="仿宋_GB2312" w:hAnsiTheme="minorEastAsia"/>
          <w:color w:val="auto"/>
          <w:sz w:val="32"/>
          <w:szCs w:val="32"/>
          <w:lang w:eastAsia="zh-CN"/>
        </w:rPr>
        <w:t>农村</w:t>
      </w:r>
      <w:r>
        <w:rPr>
          <w:rFonts w:hint="eastAsia" w:ascii="仿宋_GB2312" w:eastAsia="仿宋_GB2312" w:hAnsiTheme="minorEastAsia"/>
          <w:color w:val="auto"/>
          <w:sz w:val="32"/>
          <w:szCs w:val="32"/>
        </w:rPr>
        <w:t>转移人口就业扶持政策，实施新生代农民工职业技能提升计划。</w:t>
      </w:r>
    </w:p>
    <w:p>
      <w:pPr>
        <w:keepLines w:val="0"/>
        <w:pageBreakBefore w:val="0"/>
        <w:kinsoku/>
        <w:wordWrap/>
        <w:overflowPunct/>
        <w:topLinePunct w:val="0"/>
        <w:autoSpaceDE/>
        <w:autoSpaceDN/>
        <w:bidi w:val="0"/>
        <w:adjustRightInd w:val="0"/>
        <w:snapToGrid w:val="0"/>
        <w:spacing w:line="560" w:lineRule="exact"/>
        <w:ind w:firstLine="643" w:firstLineChars="200"/>
        <w:rPr>
          <w:rFonts w:hint="eastAsia" w:ascii="仿宋_GB2312" w:eastAsia="仿宋_GB2312" w:hAnsiTheme="minorEastAsia"/>
          <w:color w:val="auto"/>
          <w:sz w:val="32"/>
          <w:szCs w:val="32"/>
        </w:rPr>
      </w:pPr>
      <w:r>
        <w:rPr>
          <w:rFonts w:hint="eastAsia" w:ascii="仿宋_GB2312" w:eastAsia="仿宋_GB2312" w:hAnsiTheme="minorEastAsia"/>
          <w:b/>
          <w:color w:val="auto"/>
          <w:sz w:val="32"/>
          <w:szCs w:val="32"/>
        </w:rPr>
        <w:t>帮扶困难人员就业。</w:t>
      </w:r>
      <w:r>
        <w:rPr>
          <w:rFonts w:hint="eastAsia" w:ascii="仿宋_GB2312" w:eastAsia="仿宋_GB2312" w:hAnsiTheme="minorEastAsia"/>
          <w:color w:val="auto"/>
          <w:sz w:val="32"/>
          <w:szCs w:val="32"/>
        </w:rPr>
        <w:t>动态合理确定就业困难人员范围，规范就业困难人员认定程序，精准识别就业援助对象，制定个性化援助计划。健全就业援助制度，组织开展专项就业服务活动。规范公益性岗位开发管理，加强公益性岗位托底安置，确保零就业家庭动态“清零”。加强转岗就业或失业的劳动者的精准就业服务，促进恢复就业。</w:t>
      </w:r>
    </w:p>
    <w:p>
      <w:pPr>
        <w:pStyle w:val="4"/>
        <w:keepNext w:val="0"/>
        <w:keepLines w:val="0"/>
        <w:pageBreakBefore w:val="0"/>
        <w:kinsoku/>
        <w:wordWrap/>
        <w:overflowPunct/>
        <w:topLinePunct w:val="0"/>
        <w:autoSpaceDE/>
        <w:autoSpaceDN/>
        <w:bidi w:val="0"/>
        <w:adjustRightInd w:val="0"/>
        <w:snapToGrid w:val="0"/>
        <w:spacing w:before="120" w:beforeLines="50" w:after="120" w:afterLines="50" w:line="560" w:lineRule="exact"/>
        <w:ind w:left="200"/>
        <w:jc w:val="center"/>
        <w:rPr>
          <w:rFonts w:hint="eastAsia" w:ascii="Cambria" w:hAnsi="Cambria" w:eastAsia="楷体_GB2312"/>
          <w:color w:val="auto"/>
          <w:sz w:val="34"/>
        </w:rPr>
      </w:pPr>
      <w:bookmarkStart w:id="35" w:name="_Toc20628"/>
      <w:bookmarkStart w:id="36" w:name="_Toc29163"/>
      <w:r>
        <w:rPr>
          <w:rFonts w:hint="eastAsia" w:ascii="Cambria" w:hAnsi="Cambria" w:eastAsia="楷体_GB2312"/>
          <w:color w:val="auto"/>
          <w:sz w:val="34"/>
        </w:rPr>
        <w:t>第四节  推进全方位公共就业服务</w:t>
      </w:r>
      <w:bookmarkEnd w:id="35"/>
      <w:bookmarkEnd w:id="36"/>
    </w:p>
    <w:p>
      <w:pPr>
        <w:keepLines w:val="0"/>
        <w:pageBreakBefore w:val="0"/>
        <w:kinsoku/>
        <w:wordWrap/>
        <w:overflowPunct/>
        <w:topLinePunct w:val="0"/>
        <w:autoSpaceDE/>
        <w:autoSpaceDN/>
        <w:bidi w:val="0"/>
        <w:adjustRightInd w:val="0"/>
        <w:snapToGrid w:val="0"/>
        <w:spacing w:line="560" w:lineRule="exact"/>
        <w:ind w:firstLine="643" w:firstLineChars="200"/>
        <w:rPr>
          <w:rFonts w:ascii="仿宋_GB2312" w:eastAsia="仿宋_GB2312" w:hAnsiTheme="minorEastAsia"/>
          <w:color w:val="auto"/>
          <w:sz w:val="32"/>
          <w:szCs w:val="32"/>
        </w:rPr>
      </w:pPr>
      <w:r>
        <w:rPr>
          <w:rFonts w:hint="eastAsia" w:ascii="仿宋_GB2312" w:eastAsia="仿宋_GB2312" w:hAnsiTheme="minorEastAsia"/>
          <w:b/>
          <w:color w:val="auto"/>
          <w:sz w:val="32"/>
          <w:szCs w:val="32"/>
        </w:rPr>
        <w:t>提升基本公共就业服务效能。</w:t>
      </w:r>
      <w:r>
        <w:rPr>
          <w:rFonts w:hint="eastAsia" w:ascii="仿宋_GB2312" w:eastAsia="仿宋_GB2312" w:hAnsiTheme="minorEastAsia"/>
          <w:color w:val="auto"/>
          <w:sz w:val="32"/>
          <w:szCs w:val="32"/>
        </w:rPr>
        <w:t>进一步规范公共就业服务事项、因地制宜分类分块制定服务项目清单，落实公共就业服务实名制、鼓励社会力量参与公共就业服务，丰富公共就业服务渠道、推动线下实体网点服务与线上互联网服务深度融合，优化经办窗口设置，设立自助服务区域、完善线下服务体验，提升农村地区公共就业服务能力，推进城镇公共就业服务向农村倾斜，城市优质资源向农村福射，保障农村地区基本公共就业服务需求。</w:t>
      </w:r>
    </w:p>
    <w:p>
      <w:pPr>
        <w:keepLines w:val="0"/>
        <w:pageBreakBefore w:val="0"/>
        <w:kinsoku/>
        <w:wordWrap/>
        <w:overflowPunct/>
        <w:topLinePunct w:val="0"/>
        <w:autoSpaceDE/>
        <w:autoSpaceDN/>
        <w:bidi w:val="0"/>
        <w:adjustRightInd w:val="0"/>
        <w:snapToGrid w:val="0"/>
        <w:spacing w:line="560" w:lineRule="exact"/>
        <w:ind w:firstLine="643" w:firstLineChars="200"/>
        <w:rPr>
          <w:rFonts w:hint="eastAsia" w:ascii="仿宋_GB2312" w:eastAsia="仿宋_GB2312" w:hAnsiTheme="minorEastAsia"/>
          <w:color w:val="auto"/>
          <w:sz w:val="32"/>
          <w:szCs w:val="32"/>
          <w:lang w:eastAsia="zh-CN"/>
        </w:rPr>
      </w:pPr>
      <w:r>
        <w:rPr>
          <w:rFonts w:hint="eastAsia" w:ascii="仿宋_GB2312" w:eastAsia="仿宋_GB2312" w:hAnsiTheme="minorEastAsia"/>
          <w:b/>
          <w:color w:val="auto"/>
          <w:sz w:val="32"/>
          <w:szCs w:val="32"/>
        </w:rPr>
        <w:t>完善人力资源市场服务功能。</w:t>
      </w:r>
      <w:r>
        <w:rPr>
          <w:rFonts w:hint="eastAsia" w:ascii="仿宋_GB2312" w:hAnsi="宋体" w:eastAsia="仿宋_GB2312"/>
          <w:color w:val="auto"/>
          <w:sz w:val="32"/>
          <w:szCs w:val="32"/>
          <w:highlight w:val="none"/>
        </w:rPr>
        <w:t>着力打造覆盖全民、贯穿全程、辐射全域、便捷高效的全方位公共就业服务体系，提升劳动力市场供需匹配效率。</w:t>
      </w:r>
      <w:r>
        <w:rPr>
          <w:rFonts w:hint="eastAsia" w:ascii="仿宋_GB2312" w:eastAsia="仿宋_GB2312" w:hAnsiTheme="minorEastAsia"/>
          <w:color w:val="auto"/>
          <w:sz w:val="32"/>
          <w:szCs w:val="32"/>
        </w:rPr>
        <w:t>建立完善全</w:t>
      </w:r>
      <w:r>
        <w:rPr>
          <w:rFonts w:hint="eastAsia" w:ascii="仿宋_GB2312" w:eastAsia="仿宋_GB2312" w:hAnsiTheme="minorEastAsia"/>
          <w:color w:val="auto"/>
          <w:sz w:val="32"/>
          <w:szCs w:val="32"/>
          <w:lang w:eastAsia="zh-CN"/>
        </w:rPr>
        <w:t>区</w:t>
      </w:r>
      <w:r>
        <w:rPr>
          <w:rFonts w:hint="eastAsia" w:ascii="仿宋_GB2312" w:eastAsia="仿宋_GB2312" w:hAnsiTheme="minorEastAsia"/>
          <w:color w:val="auto"/>
          <w:sz w:val="32"/>
          <w:szCs w:val="32"/>
        </w:rPr>
        <w:t>统一规范、功能齐全、服务配套的人力资源市场，提升服务能力，拓宽服务领域，充分发挥其快捷、高效的服务功能。</w:t>
      </w:r>
      <w:r>
        <w:rPr>
          <w:rFonts w:hint="eastAsia" w:ascii="仿宋_GB2312" w:eastAsia="仿宋_GB2312" w:hAnsiTheme="minorEastAsia"/>
          <w:color w:val="auto"/>
          <w:sz w:val="32"/>
          <w:szCs w:val="32"/>
          <w:lang w:eastAsia="zh-CN"/>
        </w:rPr>
        <w:t>推动人力资源服务业与相关产业融合发展，促进人力资源服务业更好地服务于就业创业、人才开发、产业发展、社会民生等领域。</w:t>
      </w:r>
    </w:p>
    <w:p>
      <w:pPr>
        <w:keepLines w:val="0"/>
        <w:pageBreakBefore w:val="0"/>
        <w:kinsoku/>
        <w:wordWrap/>
        <w:overflowPunct/>
        <w:topLinePunct w:val="0"/>
        <w:autoSpaceDE/>
        <w:autoSpaceDN/>
        <w:bidi w:val="0"/>
        <w:adjustRightInd w:val="0"/>
        <w:snapToGrid w:val="0"/>
        <w:spacing w:line="560" w:lineRule="exact"/>
        <w:ind w:firstLine="643" w:firstLineChars="200"/>
        <w:rPr>
          <w:rFonts w:hint="eastAsia" w:ascii="仿宋_GB2312" w:eastAsia="仿宋_GB2312" w:hAnsiTheme="minorEastAsia"/>
          <w:color w:val="auto"/>
          <w:sz w:val="32"/>
          <w:szCs w:val="32"/>
        </w:rPr>
      </w:pPr>
      <w:r>
        <w:rPr>
          <w:rFonts w:hint="eastAsia" w:ascii="仿宋_GB2312" w:eastAsia="仿宋_GB2312" w:hAnsiTheme="minorEastAsia"/>
          <w:b/>
          <w:color w:val="auto"/>
          <w:sz w:val="32"/>
          <w:szCs w:val="32"/>
        </w:rPr>
        <w:t>强化就业援助和就业服务指导。</w:t>
      </w:r>
      <w:r>
        <w:rPr>
          <w:rFonts w:hint="eastAsia" w:ascii="仿宋_GB2312" w:hAnsi="宋体" w:eastAsia="仿宋_GB2312"/>
          <w:color w:val="auto"/>
          <w:sz w:val="32"/>
          <w:szCs w:val="32"/>
          <w:highlight w:val="none"/>
        </w:rPr>
        <w:t>提供全方位公共就业服务，及时为失业人员开展失业登记、失业保险发放、推荐就业等服务。</w:t>
      </w:r>
      <w:r>
        <w:rPr>
          <w:rFonts w:hint="eastAsia" w:ascii="仿宋_GB2312" w:eastAsia="仿宋_GB2312" w:hAnsiTheme="minorEastAsia"/>
          <w:color w:val="auto"/>
          <w:sz w:val="32"/>
          <w:szCs w:val="32"/>
        </w:rPr>
        <w:t>通过举办现场招聘、网络招聘、校园招聘等方式，广搭就业平台，为以大中专毕业生为主的各类求职者提供充分交流洽谈机遇。积极拓展</w:t>
      </w:r>
      <w:r>
        <w:rPr>
          <w:rFonts w:hint="eastAsia" w:ascii="仿宋_GB2312" w:eastAsia="仿宋_GB2312" w:hAnsiTheme="minorEastAsia"/>
          <w:color w:val="auto"/>
          <w:sz w:val="32"/>
          <w:szCs w:val="32"/>
          <w:lang w:eastAsia="zh-CN"/>
        </w:rPr>
        <w:t>与区</w:t>
      </w:r>
      <w:r>
        <w:rPr>
          <w:rFonts w:hint="eastAsia" w:ascii="仿宋_GB2312" w:eastAsia="仿宋_GB2312" w:hAnsiTheme="minorEastAsia"/>
          <w:color w:val="auto"/>
          <w:sz w:val="32"/>
          <w:szCs w:val="32"/>
        </w:rPr>
        <w:t>外人才市场和用人单位的合作，努力实现毕业生供求信息的有效对接，拓宽毕业生向外输出的渠道。切实开展好以“送政策、送岗位、送服务、送温暖”为主题的就业援助活动，继续实施岗位补贴、社会保险补贴、职业培训补贴和职业介绍补贴政策，加强研究失业保险政策，切实发挥失业保险基金保障基本生活、促进企业保岗、稳岗和促进失业人员实现再就业的作用。</w:t>
      </w:r>
    </w:p>
    <w:p>
      <w:pPr>
        <w:pStyle w:val="2"/>
        <w:rPr>
          <w:rFonts w:hint="eastAsia" w:ascii="仿宋_GB2312" w:eastAsia="仿宋_GB2312" w:hAnsiTheme="minorEastAsia"/>
          <w:color w:val="auto"/>
          <w:sz w:val="32"/>
          <w:szCs w:val="32"/>
        </w:rPr>
      </w:pPr>
    </w:p>
    <w:p>
      <w:pPr>
        <w:rPr>
          <w:rFonts w:hint="eastAsia" w:ascii="仿宋_GB2312" w:eastAsia="仿宋_GB2312" w:hAnsiTheme="minorEastAsia"/>
          <w:color w:val="auto"/>
          <w:sz w:val="32"/>
          <w:szCs w:val="32"/>
        </w:rPr>
      </w:pPr>
    </w:p>
    <w:p>
      <w:pPr>
        <w:pStyle w:val="2"/>
        <w:rPr>
          <w:rFonts w:hint="eastAsia" w:ascii="仿宋_GB2312" w:eastAsia="仿宋_GB2312" w:hAnsiTheme="minorEastAsia"/>
          <w:color w:val="auto"/>
          <w:sz w:val="32"/>
          <w:szCs w:val="32"/>
        </w:rPr>
      </w:pPr>
    </w:p>
    <w:p>
      <w:pPr>
        <w:rPr>
          <w:rFonts w:hint="eastAsia" w:ascii="仿宋_GB2312" w:eastAsia="仿宋_GB2312" w:hAnsiTheme="minorEastAsia"/>
          <w:color w:val="auto"/>
          <w:sz w:val="32"/>
          <w:szCs w:val="32"/>
        </w:rPr>
      </w:pPr>
    </w:p>
    <w:p>
      <w:pPr>
        <w:pStyle w:val="2"/>
        <w:rPr>
          <w:rFonts w:hint="eastAsia" w:ascii="仿宋_GB2312" w:eastAsia="仿宋_GB2312" w:hAnsiTheme="minorEastAsia"/>
          <w:color w:val="auto"/>
          <w:sz w:val="32"/>
          <w:szCs w:val="32"/>
        </w:rPr>
      </w:pPr>
    </w:p>
    <w:p>
      <w:pPr>
        <w:rPr>
          <w:rFonts w:hint="eastAsia" w:ascii="仿宋_GB2312" w:eastAsia="仿宋_GB2312" w:hAnsiTheme="minorEastAsia"/>
          <w:color w:val="auto"/>
          <w:sz w:val="32"/>
          <w:szCs w:val="32"/>
        </w:rPr>
      </w:pPr>
    </w:p>
    <w:p>
      <w:pPr>
        <w:pStyle w:val="2"/>
        <w:rPr>
          <w:rFonts w:hint="eastAsia" w:ascii="仿宋_GB2312" w:eastAsia="仿宋_GB2312" w:hAnsiTheme="minorEastAsia"/>
          <w:color w:val="auto"/>
          <w:sz w:val="32"/>
          <w:szCs w:val="32"/>
        </w:rPr>
      </w:pPr>
    </w:p>
    <w:p>
      <w:pPr>
        <w:rPr>
          <w:rFonts w:hint="eastAsia" w:ascii="仿宋_GB2312" w:eastAsia="仿宋_GB2312" w:hAnsiTheme="minorEastAsia"/>
          <w:color w:val="auto"/>
          <w:sz w:val="32"/>
          <w:szCs w:val="32"/>
        </w:rPr>
      </w:pPr>
    </w:p>
    <w:p>
      <w:pPr>
        <w:pStyle w:val="2"/>
        <w:rPr>
          <w:rFonts w:hint="eastAsia" w:ascii="仿宋_GB2312" w:eastAsia="仿宋_GB2312" w:hAnsiTheme="minorEastAsia"/>
          <w:color w:val="auto"/>
          <w:sz w:val="32"/>
          <w:szCs w:val="32"/>
        </w:rPr>
      </w:pPr>
    </w:p>
    <w:p>
      <w:pPr>
        <w:rPr>
          <w:rFonts w:hint="eastAsia"/>
        </w:rPr>
      </w:pPr>
    </w:p>
    <w:p>
      <w:pPr>
        <w:pStyle w:val="3"/>
        <w:keepLines w:val="0"/>
        <w:pageBreakBefore w:val="0"/>
        <w:kinsoku/>
        <w:wordWrap/>
        <w:overflowPunct/>
        <w:topLinePunct w:val="0"/>
        <w:autoSpaceDE/>
        <w:autoSpaceDN/>
        <w:bidi w:val="0"/>
        <w:adjustRightInd w:val="0"/>
        <w:snapToGrid w:val="0"/>
        <w:spacing w:before="120" w:beforeLines="50" w:after="120" w:afterLines="50" w:line="560" w:lineRule="exact"/>
        <w:jc w:val="center"/>
        <w:rPr>
          <w:rFonts w:ascii="Calibri" w:hAnsi="Calibri" w:eastAsia="黑体"/>
          <w:color w:val="auto"/>
          <w:sz w:val="36"/>
          <w:szCs w:val="36"/>
          <w:lang w:val="en-US" w:eastAsia="zh-CN"/>
        </w:rPr>
      </w:pPr>
      <w:bookmarkStart w:id="37" w:name="_Toc12107"/>
      <w:bookmarkStart w:id="38" w:name="_Toc23398"/>
      <w:bookmarkStart w:id="39" w:name="_Toc10592"/>
      <w:r>
        <w:rPr>
          <w:rFonts w:hint="eastAsia" w:ascii="Calibri" w:hAnsi="Calibri" w:eastAsia="黑体"/>
          <w:color w:val="auto"/>
          <w:sz w:val="36"/>
          <w:szCs w:val="36"/>
          <w:lang w:val="en-US" w:eastAsia="zh-CN"/>
        </w:rPr>
        <w:t>第五章  建设全覆盖可持续的多层次社会保障体</w:t>
      </w:r>
      <w:bookmarkEnd w:id="37"/>
      <w:r>
        <w:rPr>
          <w:rFonts w:hint="eastAsia" w:ascii="Calibri" w:hAnsi="Calibri" w:eastAsia="黑体"/>
          <w:color w:val="auto"/>
          <w:sz w:val="36"/>
          <w:szCs w:val="36"/>
          <w:lang w:val="en-US" w:eastAsia="zh-CN"/>
        </w:rPr>
        <w:t>系</w:t>
      </w:r>
      <w:bookmarkEnd w:id="38"/>
      <w:bookmarkEnd w:id="39"/>
    </w:p>
    <w:p>
      <w:pPr>
        <w:keepLines w:val="0"/>
        <w:pageBreakBefore w:val="0"/>
        <w:kinsoku/>
        <w:wordWrap/>
        <w:overflowPunct/>
        <w:topLinePunct w:val="0"/>
        <w:autoSpaceDE/>
        <w:autoSpaceDN/>
        <w:bidi w:val="0"/>
        <w:adjustRightInd w:val="0"/>
        <w:snapToGrid w:val="0"/>
        <w:spacing w:line="560" w:lineRule="exact"/>
        <w:ind w:firstLine="640" w:firstLineChars="200"/>
        <w:rPr>
          <w:rFonts w:hint="eastAsia" w:ascii="仿宋_GB2312" w:eastAsia="仿宋_GB2312" w:hAnsiTheme="minorEastAsia"/>
          <w:b/>
          <w:color w:val="auto"/>
          <w:sz w:val="32"/>
          <w:szCs w:val="32"/>
        </w:rPr>
      </w:pPr>
      <w:bookmarkStart w:id="40" w:name="_Toc1139"/>
      <w:r>
        <w:rPr>
          <w:rFonts w:hint="eastAsia" w:ascii="仿宋_GB2312" w:eastAsia="仿宋_GB2312" w:hAnsiTheme="minorEastAsia"/>
          <w:color w:val="auto"/>
          <w:sz w:val="32"/>
          <w:szCs w:val="32"/>
        </w:rPr>
        <w:t>按照兜底线、织密网、建机制的要求，进一步深化养老、工伤、失业保险制度改革，推动建成覆盖全民、城乡统筹、权责清晰、保障适度、可持续的多层次社会保障体系，为经济社会发展提供水平适度、持续稳定的社会保障网。</w:t>
      </w:r>
    </w:p>
    <w:p>
      <w:pPr>
        <w:pStyle w:val="4"/>
        <w:keepNext w:val="0"/>
        <w:keepLines w:val="0"/>
        <w:pageBreakBefore w:val="0"/>
        <w:kinsoku/>
        <w:wordWrap/>
        <w:overflowPunct/>
        <w:topLinePunct w:val="0"/>
        <w:autoSpaceDE/>
        <w:autoSpaceDN/>
        <w:bidi w:val="0"/>
        <w:adjustRightInd w:val="0"/>
        <w:snapToGrid w:val="0"/>
        <w:spacing w:before="120" w:beforeLines="50" w:after="120" w:afterLines="50" w:line="560" w:lineRule="exact"/>
        <w:ind w:left="200"/>
        <w:jc w:val="center"/>
        <w:rPr>
          <w:rFonts w:hint="eastAsia" w:ascii="Cambria" w:hAnsi="Cambria" w:eastAsia="楷体_GB2312"/>
          <w:color w:val="auto"/>
          <w:sz w:val="34"/>
        </w:rPr>
      </w:pPr>
      <w:bookmarkStart w:id="41" w:name="_Toc1489"/>
      <w:bookmarkStart w:id="42" w:name="_Toc24930"/>
      <w:r>
        <w:rPr>
          <w:rFonts w:hint="eastAsia" w:ascii="Cambria" w:hAnsi="Cambria" w:eastAsia="楷体_GB2312"/>
          <w:color w:val="auto"/>
          <w:sz w:val="34"/>
        </w:rPr>
        <w:t>第一节  促进全民享有社会保障</w:t>
      </w:r>
      <w:bookmarkEnd w:id="41"/>
      <w:bookmarkEnd w:id="42"/>
    </w:p>
    <w:p>
      <w:pPr>
        <w:keepLines w:val="0"/>
        <w:pageBreakBefore w:val="0"/>
        <w:kinsoku/>
        <w:wordWrap/>
        <w:overflowPunct/>
        <w:topLinePunct w:val="0"/>
        <w:autoSpaceDE/>
        <w:autoSpaceDN/>
        <w:bidi w:val="0"/>
        <w:adjustRightInd w:val="0"/>
        <w:snapToGrid w:val="0"/>
        <w:spacing w:line="560" w:lineRule="exact"/>
        <w:ind w:firstLine="643" w:firstLineChars="200"/>
        <w:jc w:val="left"/>
        <w:rPr>
          <w:rFonts w:hint="eastAsia" w:ascii="仿宋_GB2312" w:eastAsia="仿宋_GB2312" w:hAnsiTheme="minorEastAsia"/>
          <w:b w:val="0"/>
          <w:bCs/>
          <w:color w:val="auto"/>
          <w:sz w:val="32"/>
          <w:szCs w:val="32"/>
        </w:rPr>
      </w:pPr>
      <w:r>
        <w:rPr>
          <w:rFonts w:hint="eastAsia" w:ascii="仿宋_GB2312" w:eastAsia="仿宋_GB2312" w:hAnsiTheme="minorEastAsia"/>
          <w:b/>
          <w:bCs w:val="0"/>
          <w:color w:val="auto"/>
          <w:sz w:val="32"/>
          <w:szCs w:val="32"/>
        </w:rPr>
        <w:t>全面实施全民参保计划。</w:t>
      </w:r>
      <w:r>
        <w:rPr>
          <w:rFonts w:hint="eastAsia" w:ascii="仿宋_GB2312" w:eastAsia="仿宋_GB2312" w:hAnsiTheme="minorEastAsia"/>
          <w:b w:val="0"/>
          <w:bCs/>
          <w:color w:val="auto"/>
          <w:sz w:val="32"/>
          <w:szCs w:val="32"/>
        </w:rPr>
        <w:t>完善政策措施，创新工作机制，强化经办服务，全面推动全民参保计划实施，深入推进社会保险扩面征缴。压紧压实各镇</w:t>
      </w:r>
      <w:r>
        <w:rPr>
          <w:rFonts w:hint="eastAsia" w:ascii="仿宋_GB2312" w:eastAsia="仿宋_GB2312" w:hAnsiTheme="minorEastAsia"/>
          <w:b w:val="0"/>
          <w:bCs/>
          <w:color w:val="auto"/>
          <w:sz w:val="32"/>
          <w:szCs w:val="32"/>
          <w:lang w:eastAsia="zh-CN"/>
        </w:rPr>
        <w:t>（</w:t>
      </w:r>
      <w:r>
        <w:rPr>
          <w:rFonts w:hint="eastAsia" w:ascii="仿宋_GB2312" w:eastAsia="仿宋_GB2312" w:hAnsiTheme="minorEastAsia"/>
          <w:b w:val="0"/>
          <w:bCs/>
          <w:color w:val="auto"/>
          <w:sz w:val="32"/>
          <w:szCs w:val="32"/>
        </w:rPr>
        <w:t>街道</w:t>
      </w:r>
      <w:r>
        <w:rPr>
          <w:rFonts w:hint="eastAsia" w:ascii="仿宋_GB2312" w:eastAsia="仿宋_GB2312" w:hAnsiTheme="minorEastAsia"/>
          <w:b w:val="0"/>
          <w:bCs/>
          <w:color w:val="auto"/>
          <w:sz w:val="32"/>
          <w:szCs w:val="32"/>
          <w:lang w:eastAsia="zh-CN"/>
        </w:rPr>
        <w:t>）</w:t>
      </w:r>
      <w:r>
        <w:rPr>
          <w:rFonts w:hint="eastAsia" w:ascii="仿宋_GB2312" w:eastAsia="仿宋_GB2312" w:hAnsiTheme="minorEastAsia"/>
          <w:b w:val="0"/>
          <w:bCs/>
          <w:color w:val="auto"/>
          <w:sz w:val="32"/>
          <w:szCs w:val="32"/>
        </w:rPr>
        <w:t>扩面征缴主体责任，充分调动群众参保缴费积极性，促进实现城镇职工基本养老保险由制度全覆盖到实际人群全覆盖，城乡居民基本养老保险适龄参保人员实现应保尽保，加强失业保险、工伤保险参保扩面工作。持续推进企业养老、城乡居民养老、工伤保险扩面征缴，以用人单位应保尽保为目标，以未参保和参保率低的企业为突破口，重点推进非公有制企业职工参保率，提高灵活就业人员、新就业形态从业人员等群体参保的便利度，鼓励其参加企业职工基本养老保险。</w:t>
      </w:r>
    </w:p>
    <w:p>
      <w:pPr>
        <w:keepLines w:val="0"/>
        <w:pageBreakBefore w:val="0"/>
        <w:kinsoku/>
        <w:wordWrap/>
        <w:overflowPunct/>
        <w:topLinePunct w:val="0"/>
        <w:autoSpaceDE/>
        <w:autoSpaceDN/>
        <w:bidi w:val="0"/>
        <w:adjustRightInd w:val="0"/>
        <w:snapToGrid w:val="0"/>
        <w:spacing w:line="560" w:lineRule="exact"/>
        <w:ind w:firstLine="643" w:firstLineChars="200"/>
        <w:rPr>
          <w:rFonts w:hint="eastAsia" w:ascii="仿宋_GB2312" w:eastAsia="仿宋_GB2312" w:hAnsiTheme="minorEastAsia"/>
          <w:color w:val="auto"/>
          <w:sz w:val="32"/>
          <w:szCs w:val="32"/>
        </w:rPr>
      </w:pPr>
      <w:r>
        <w:rPr>
          <w:rFonts w:hint="eastAsia" w:ascii="仿宋_GB2312" w:eastAsia="仿宋_GB2312" w:hAnsiTheme="minorEastAsia"/>
          <w:b/>
          <w:color w:val="auto"/>
          <w:sz w:val="32"/>
          <w:szCs w:val="32"/>
          <w:highlight w:val="none"/>
          <w:shd w:val="clear" w:color="auto" w:fill="auto"/>
        </w:rPr>
        <w:t>扩大社会保险参保续保。</w:t>
      </w:r>
      <w:r>
        <w:rPr>
          <w:rFonts w:hint="eastAsia" w:ascii="仿宋_GB2312" w:eastAsia="仿宋_GB2312" w:hAnsiTheme="minorEastAsia"/>
          <w:sz w:val="32"/>
          <w:szCs w:val="32"/>
        </w:rPr>
        <w:t>建立全民参保登记动态清零机制，动态精准锁定未参保人员和中断缴费人员。健全灵活就业人员参加企业职工养老保险制度，探索灵活就业人员参加失业保险制度，建立新业态从业人员职业伤害保障制度。推动进城落户农民完全纳入城镇社会保障体系。完善公路、铁路及建筑施工等高风险行业按项目参加工伤保险的长效机制，实现高风险行业从业人员工伤保险保障全覆盖。完善社会保障待遇水平与缴费相挂钩的参保缴费激励约束机制，全面实施阶段性下调费率、减免社保费等政策，完善缓缴、延缴等参保缴费机制，保持企业社会保险缴费成本预期稳定，支持实体经济发展</w:t>
      </w:r>
      <w:r>
        <w:rPr>
          <w:rFonts w:hint="eastAsia" w:ascii="仿宋_GB2312" w:eastAsia="仿宋_GB2312" w:hAnsiTheme="minorEastAsia"/>
          <w:color w:val="auto"/>
          <w:sz w:val="32"/>
          <w:szCs w:val="32"/>
        </w:rPr>
        <w:t>。完善被征地农民养老保障政策，落实被征地农民参保。完善对</w:t>
      </w:r>
      <w:r>
        <w:rPr>
          <w:rFonts w:hint="eastAsia" w:ascii="仿宋_GB2312" w:eastAsia="仿宋_GB2312" w:hAnsiTheme="minorEastAsia"/>
          <w:sz w:val="32"/>
          <w:szCs w:val="32"/>
        </w:rPr>
        <w:t>建档</w:t>
      </w:r>
      <w:r>
        <w:rPr>
          <w:rFonts w:hint="eastAsia" w:ascii="仿宋_GB2312" w:eastAsia="仿宋_GB2312" w:hAnsiTheme="minorEastAsia"/>
          <w:color w:val="auto"/>
          <w:sz w:val="32"/>
          <w:szCs w:val="32"/>
        </w:rPr>
        <w:t>立卡贫困人员、低保对象、重度残疾人等困难群体的代缴、缴费资助等政策。</w:t>
      </w:r>
    </w:p>
    <w:p>
      <w:pPr>
        <w:pStyle w:val="12"/>
        <w:rPr>
          <w:rFonts w:hint="eastAsia"/>
        </w:rPr>
      </w:pPr>
    </w:p>
    <w:p>
      <w:pPr>
        <w:pStyle w:val="4"/>
        <w:keepNext w:val="0"/>
        <w:keepLines w:val="0"/>
        <w:pageBreakBefore w:val="0"/>
        <w:kinsoku/>
        <w:wordWrap/>
        <w:overflowPunct/>
        <w:topLinePunct w:val="0"/>
        <w:autoSpaceDE/>
        <w:autoSpaceDN/>
        <w:bidi w:val="0"/>
        <w:adjustRightInd w:val="0"/>
        <w:snapToGrid w:val="0"/>
        <w:spacing w:before="120" w:beforeLines="50" w:after="120" w:afterLines="50" w:line="560" w:lineRule="exact"/>
        <w:ind w:left="200"/>
        <w:jc w:val="center"/>
        <w:rPr>
          <w:rFonts w:hint="eastAsia" w:ascii="Cambria" w:hAnsi="Cambria" w:eastAsia="楷体_GB2312"/>
          <w:color w:val="auto"/>
          <w:sz w:val="34"/>
        </w:rPr>
      </w:pPr>
      <w:bookmarkStart w:id="43" w:name="_Toc6383"/>
      <w:bookmarkStart w:id="44" w:name="_Toc3738"/>
      <w:r>
        <w:rPr>
          <w:rFonts w:hint="eastAsia" w:ascii="Cambria" w:hAnsi="Cambria" w:eastAsia="楷体_GB2312"/>
          <w:color w:val="auto"/>
          <w:sz w:val="34"/>
        </w:rPr>
        <w:t>第二节  完善社会保障制度体系</w:t>
      </w:r>
      <w:bookmarkEnd w:id="43"/>
    </w:p>
    <w:p>
      <w:pPr>
        <w:pStyle w:val="12"/>
        <w:keepLines w:val="0"/>
        <w:pageBreakBefore w:val="0"/>
        <w:kinsoku/>
        <w:wordWrap/>
        <w:overflowPunct/>
        <w:topLinePunct w:val="0"/>
        <w:autoSpaceDE/>
        <w:autoSpaceDN/>
        <w:bidi w:val="0"/>
        <w:spacing w:line="560" w:lineRule="exact"/>
        <w:ind w:firstLine="683"/>
        <w:rPr>
          <w:rFonts w:hint="eastAsia" w:ascii="仿宋_GB2312" w:eastAsia="仿宋_GB2312" w:hAnsiTheme="minorEastAsia"/>
          <w:color w:val="auto"/>
          <w:sz w:val="32"/>
          <w:szCs w:val="32"/>
        </w:rPr>
      </w:pPr>
      <w:r>
        <w:rPr>
          <w:rFonts w:hint="eastAsia" w:ascii="Cambria" w:hAnsi="Cambria" w:eastAsia="楷体_GB2312" w:cs="Times New Roman"/>
          <w:b/>
          <w:color w:val="auto"/>
          <w:sz w:val="34"/>
          <w:szCs w:val="32"/>
        </w:rPr>
        <w:t>巩固提升社保统筹层次。</w:t>
      </w:r>
      <w:r>
        <w:rPr>
          <w:rFonts w:hint="eastAsia" w:ascii="仿宋_GB2312" w:eastAsia="仿宋_GB2312" w:hAnsiTheme="minorEastAsia"/>
          <w:color w:val="auto"/>
          <w:sz w:val="32"/>
          <w:szCs w:val="32"/>
        </w:rPr>
        <w:t>落实企业职工基本养老保险省级统筹配套政策，配合省市做好与全国统筹有序对接。逐步提高机关事业单位养老保险统筹层次。按照省市的部署，推进城乡居民基本养老保险基金省级管理。配合做好失业保险省级统筹</w:t>
      </w:r>
      <w:r>
        <w:rPr>
          <w:rFonts w:hint="eastAsia" w:ascii="仿宋_GB2312" w:eastAsia="仿宋_GB2312" w:hAnsiTheme="minorEastAsia"/>
          <w:color w:val="auto"/>
          <w:sz w:val="32"/>
          <w:szCs w:val="32"/>
          <w:lang w:eastAsia="zh-CN"/>
        </w:rPr>
        <w:t>，</w:t>
      </w:r>
      <w:r>
        <w:rPr>
          <w:rFonts w:hint="eastAsia" w:ascii="仿宋_GB2312" w:eastAsia="仿宋_GB2312" w:hAnsiTheme="minorEastAsia"/>
          <w:color w:val="auto"/>
          <w:sz w:val="32"/>
          <w:szCs w:val="32"/>
        </w:rPr>
        <w:t>增强区域间社保发展协调性和整体性，构建更加公平、更可持续的社保制度。</w:t>
      </w:r>
    </w:p>
    <w:p>
      <w:pPr>
        <w:pStyle w:val="12"/>
        <w:keepLines w:val="0"/>
        <w:pageBreakBefore w:val="0"/>
        <w:kinsoku/>
        <w:wordWrap/>
        <w:overflowPunct/>
        <w:topLinePunct w:val="0"/>
        <w:autoSpaceDE/>
        <w:autoSpaceDN/>
        <w:bidi w:val="0"/>
        <w:spacing w:line="560" w:lineRule="exact"/>
        <w:ind w:firstLine="643"/>
        <w:rPr>
          <w:rFonts w:hint="eastAsia" w:ascii="Cambria" w:hAnsi="Cambria" w:eastAsia="楷体_GB2312" w:cs="Times New Roman"/>
          <w:b/>
          <w:color w:val="auto"/>
          <w:sz w:val="34"/>
          <w:szCs w:val="32"/>
        </w:rPr>
      </w:pPr>
      <w:r>
        <w:rPr>
          <w:rFonts w:hint="eastAsia" w:ascii="仿宋_GB2312" w:eastAsia="仿宋_GB2312" w:hAnsiTheme="minorEastAsia"/>
          <w:b/>
          <w:color w:val="auto"/>
          <w:sz w:val="32"/>
          <w:szCs w:val="32"/>
        </w:rPr>
        <w:t>构建多层次养老保险体系。</w:t>
      </w:r>
      <w:r>
        <w:rPr>
          <w:rFonts w:hint="eastAsia" w:ascii="仿宋_GB2312" w:eastAsia="仿宋_GB2312" w:hAnsiTheme="minorEastAsia"/>
          <w:color w:val="auto"/>
          <w:sz w:val="32"/>
          <w:szCs w:val="32"/>
        </w:rPr>
        <w:t>按照省的部署，逐步向全省企业职工基本养老保险单位缴费比例和缴费工资基数下限统一。按照国家和省</w:t>
      </w:r>
      <w:r>
        <w:rPr>
          <w:rFonts w:hint="eastAsia" w:ascii="仿宋_GB2312" w:eastAsia="仿宋_GB2312" w:hAnsiTheme="minorEastAsia"/>
          <w:color w:val="auto"/>
          <w:sz w:val="32"/>
          <w:szCs w:val="32"/>
          <w:lang w:eastAsia="zh-CN"/>
        </w:rPr>
        <w:t>、</w:t>
      </w:r>
      <w:r>
        <w:rPr>
          <w:rFonts w:hint="eastAsia" w:ascii="仿宋_GB2312" w:eastAsia="仿宋_GB2312" w:hAnsiTheme="minorEastAsia"/>
          <w:color w:val="auto"/>
          <w:sz w:val="32"/>
          <w:szCs w:val="32"/>
        </w:rPr>
        <w:t>市的部署，实施渐进式延迟法定退休年龄。健全多层次养老保险体系，完善企业年金制度，扩大企业年金覆盖面。推动机关事业单位为编外人员建立企业年金。巩固和推进职业年金基金实账积累，积极稳妥全面做实职业年金账户。落实丧葬补助金、职工遗属待遇政策。完善城乡居民基本养老保险制度，适时</w:t>
      </w:r>
      <w:r>
        <w:rPr>
          <w:rFonts w:hint="eastAsia" w:ascii="仿宋_GB2312" w:eastAsia="仿宋_GB2312" w:hAnsiTheme="minorEastAsia"/>
          <w:color w:val="auto"/>
          <w:sz w:val="32"/>
          <w:szCs w:val="32"/>
          <w:lang w:eastAsia="zh-CN"/>
        </w:rPr>
        <w:t>按规定</w:t>
      </w:r>
      <w:r>
        <w:rPr>
          <w:rFonts w:hint="eastAsia" w:ascii="仿宋_GB2312" w:eastAsia="仿宋_GB2312" w:hAnsiTheme="minorEastAsia"/>
          <w:color w:val="auto"/>
          <w:sz w:val="32"/>
          <w:szCs w:val="32"/>
        </w:rPr>
        <w:t>提高最低缴费档次标准，进一步完善被征地农民社会保障政策。加强城乡居民基本养老保险与社会救助、社会福利等其他社会保障制度的配套衔接。</w:t>
      </w:r>
    </w:p>
    <w:p>
      <w:pPr>
        <w:keepLines w:val="0"/>
        <w:pageBreakBefore w:val="0"/>
        <w:kinsoku/>
        <w:wordWrap/>
        <w:overflowPunct/>
        <w:topLinePunct w:val="0"/>
        <w:autoSpaceDE/>
        <w:autoSpaceDN/>
        <w:bidi w:val="0"/>
        <w:spacing w:line="560" w:lineRule="exact"/>
        <w:ind w:firstLine="643" w:firstLineChars="200"/>
        <w:rPr>
          <w:rFonts w:hint="eastAsia" w:ascii="仿宋_GB2312" w:eastAsia="仿宋_GB2312" w:hAnsiTheme="minorEastAsia"/>
          <w:color w:val="auto"/>
          <w:sz w:val="32"/>
          <w:szCs w:val="32"/>
        </w:rPr>
      </w:pPr>
      <w:r>
        <w:rPr>
          <w:rFonts w:hint="eastAsia" w:ascii="仿宋_GB2312" w:eastAsia="仿宋_GB2312" w:hAnsiTheme="minorEastAsia"/>
          <w:b/>
          <w:color w:val="auto"/>
          <w:sz w:val="32"/>
          <w:szCs w:val="32"/>
        </w:rPr>
        <w:t>完善失业保险制度。</w:t>
      </w:r>
      <w:r>
        <w:rPr>
          <w:rFonts w:hint="eastAsia" w:ascii="仿宋_GB2312" w:eastAsia="仿宋_GB2312" w:hAnsiTheme="minorEastAsia"/>
          <w:color w:val="auto"/>
          <w:sz w:val="32"/>
          <w:szCs w:val="32"/>
        </w:rPr>
        <w:t>扩大失业保险保障范围，完善失业保险金等待遇申领发放政策。按国家</w:t>
      </w:r>
      <w:r>
        <w:rPr>
          <w:rFonts w:hint="eastAsia" w:ascii="仿宋_GB2312" w:eastAsia="仿宋_GB2312" w:hAnsiTheme="minorEastAsia"/>
          <w:color w:val="auto"/>
          <w:sz w:val="32"/>
          <w:szCs w:val="32"/>
          <w:lang w:eastAsia="zh-CN"/>
        </w:rPr>
        <w:t>和</w:t>
      </w:r>
      <w:r>
        <w:rPr>
          <w:rFonts w:hint="eastAsia" w:ascii="仿宋_GB2312" w:eastAsia="仿宋_GB2312" w:hAnsiTheme="minorEastAsia"/>
          <w:color w:val="auto"/>
          <w:sz w:val="32"/>
          <w:szCs w:val="32"/>
        </w:rPr>
        <w:t>省</w:t>
      </w:r>
      <w:r>
        <w:rPr>
          <w:rFonts w:hint="eastAsia" w:ascii="仿宋_GB2312" w:eastAsia="仿宋_GB2312" w:hAnsiTheme="minorEastAsia"/>
          <w:color w:val="auto"/>
          <w:sz w:val="32"/>
          <w:szCs w:val="32"/>
          <w:lang w:eastAsia="zh-CN"/>
        </w:rPr>
        <w:t>、</w:t>
      </w:r>
      <w:r>
        <w:rPr>
          <w:rFonts w:hint="eastAsia" w:ascii="仿宋_GB2312" w:eastAsia="仿宋_GB2312" w:hAnsiTheme="minorEastAsia"/>
          <w:color w:val="auto"/>
          <w:sz w:val="32"/>
          <w:szCs w:val="32"/>
        </w:rPr>
        <w:t>市规定扩大失业保险基金支出范围。积极探索灵活就业人员参加失业保险新模式。完善失业保险技能提升补贴政策。充分发挥失业保险保生活、防失业、促就业功能，推动失业保险从基本生活保障向职业技能提升扩展、从事后帮扶就业向事前预防失业拓展、从失业人员向所有参保职工和企业拓展。</w:t>
      </w:r>
    </w:p>
    <w:p>
      <w:pPr>
        <w:keepLines w:val="0"/>
        <w:pageBreakBefore w:val="0"/>
        <w:kinsoku/>
        <w:wordWrap/>
        <w:overflowPunct/>
        <w:topLinePunct w:val="0"/>
        <w:autoSpaceDE/>
        <w:autoSpaceDN/>
        <w:bidi w:val="0"/>
        <w:spacing w:line="560" w:lineRule="exact"/>
        <w:ind w:firstLine="643" w:firstLineChars="200"/>
        <w:rPr>
          <w:rFonts w:hint="eastAsia" w:ascii="仿宋_GB2312" w:eastAsia="仿宋_GB2312" w:hAnsiTheme="minorEastAsia"/>
          <w:color w:val="auto"/>
          <w:sz w:val="32"/>
          <w:szCs w:val="32"/>
        </w:rPr>
      </w:pPr>
      <w:r>
        <w:rPr>
          <w:rFonts w:hint="eastAsia" w:ascii="仿宋_GB2312" w:eastAsia="仿宋_GB2312" w:hAnsiTheme="minorEastAsia"/>
          <w:b/>
          <w:color w:val="auto"/>
          <w:sz w:val="32"/>
          <w:szCs w:val="32"/>
        </w:rPr>
        <w:t>完善工伤保险制度</w:t>
      </w:r>
      <w:r>
        <w:rPr>
          <w:rFonts w:hint="eastAsia" w:ascii="仿宋_GB2312" w:eastAsia="仿宋_GB2312" w:hAnsiTheme="minorEastAsia"/>
          <w:color w:val="auto"/>
          <w:sz w:val="32"/>
          <w:szCs w:val="32"/>
        </w:rPr>
        <w:t>。健全工伤保险浮动费率机制，实现工伤保险费率标准平稳过渡。构建多层次工伤保障制度体系，探索建立补充工伤保险制度。实施非劳动关系特定人员参加工伤保险办法。完善工伤预防、补偿、康复“三位一体”制度，实施工伤预防五年行动计划，探索预防项目绩效评价办法，促进伤后补偿向伤前预防倾斜。健全“早期介入”和“先康复后评残”工伤康复机制。</w:t>
      </w:r>
    </w:p>
    <w:p>
      <w:pPr>
        <w:pStyle w:val="7"/>
        <w:spacing w:after="0" w:line="360" w:lineRule="auto"/>
        <w:rPr>
          <w:rFonts w:hint="eastAsia" w:ascii="Cambria" w:hAnsi="Cambria" w:eastAsia="楷体_GB2312" w:cs="Times New Roman"/>
          <w:b/>
          <w:color w:val="auto"/>
          <w:sz w:val="34"/>
          <w:szCs w:val="32"/>
        </w:rPr>
      </w:pPr>
      <w:r>
        <w:rPr>
          <w:rFonts w:hint="eastAsia" w:ascii="仿宋_GB2312" w:eastAsia="仿宋_GB2312" w:hAnsiTheme="minorEastAsia"/>
          <w:color w:val="auto"/>
          <w:sz w:val="32"/>
          <w:szCs w:val="32"/>
          <w:lang w:val="en-US" w:eastAsia="zh-CN"/>
        </w:rPr>
        <w:t xml:space="preserve"> </w:t>
      </w:r>
      <w:r>
        <w:rPr>
          <w:rFonts w:hint="eastAsia" w:ascii="仿宋_GB2312" w:hAnsiTheme="minorEastAsia"/>
          <w:color w:val="auto"/>
          <w:sz w:val="32"/>
          <w:szCs w:val="32"/>
          <w:lang w:val="en-US" w:eastAsia="zh-CN"/>
        </w:rPr>
        <w:t xml:space="preserve">   </w:t>
      </w:r>
      <w:r>
        <w:rPr>
          <w:rFonts w:hint="eastAsia" w:ascii="仿宋_GB2312" w:hAnsi="宋体" w:eastAsia="仿宋_GB2312"/>
          <w:b/>
          <w:bCs/>
          <w:color w:val="auto"/>
          <w:sz w:val="32"/>
          <w:szCs w:val="32"/>
          <w:highlight w:val="none"/>
        </w:rPr>
        <w:t>加强社会保险基金监管。</w:t>
      </w:r>
      <w:r>
        <w:rPr>
          <w:rFonts w:hint="eastAsia" w:ascii="仿宋_GB2312" w:hAnsi="宋体" w:eastAsia="仿宋_GB2312"/>
          <w:color w:val="auto"/>
          <w:sz w:val="32"/>
          <w:szCs w:val="32"/>
          <w:highlight w:val="none"/>
        </w:rPr>
        <w:t>健全政策、经办、信息、监督“四位一体”的基金管理风险防控体系。推进专业化基金监督队伍建设，提升监管能力。建立健全欺诈骗保行为举报奖励制度，鼓励公众参与基金监督。健全社保领域严重失信人名单管理制度，严格执行社保领域守信联合激励和失信联合惩戒措施，加强社保严重失信黑名单认定和管理。</w:t>
      </w:r>
    </w:p>
    <w:p>
      <w:pPr>
        <w:pStyle w:val="4"/>
        <w:keepNext w:val="0"/>
        <w:keepLines w:val="0"/>
        <w:pageBreakBefore w:val="0"/>
        <w:kinsoku/>
        <w:wordWrap/>
        <w:overflowPunct/>
        <w:topLinePunct w:val="0"/>
        <w:autoSpaceDE/>
        <w:autoSpaceDN/>
        <w:bidi w:val="0"/>
        <w:adjustRightInd w:val="0"/>
        <w:snapToGrid w:val="0"/>
        <w:spacing w:before="120" w:beforeLines="50" w:after="120" w:afterLines="50" w:line="560" w:lineRule="exact"/>
        <w:ind w:left="200"/>
        <w:jc w:val="center"/>
        <w:rPr>
          <w:rFonts w:hint="eastAsia" w:ascii="仿宋_GB2312" w:eastAsia="仿宋_GB2312" w:hAnsiTheme="minorEastAsia"/>
          <w:b/>
          <w:color w:val="auto"/>
          <w:sz w:val="32"/>
          <w:szCs w:val="32"/>
        </w:rPr>
      </w:pPr>
      <w:bookmarkStart w:id="45" w:name="_Toc9085"/>
      <w:r>
        <w:rPr>
          <w:rFonts w:hint="eastAsia" w:ascii="Cambria" w:hAnsi="Cambria" w:eastAsia="楷体_GB2312"/>
          <w:color w:val="auto"/>
          <w:sz w:val="34"/>
        </w:rPr>
        <w:t>第三节  完善社会保障待遇调整机制</w:t>
      </w:r>
      <w:bookmarkEnd w:id="45"/>
    </w:p>
    <w:p>
      <w:pPr>
        <w:keepLines w:val="0"/>
        <w:pageBreakBefore w:val="0"/>
        <w:kinsoku/>
        <w:wordWrap/>
        <w:overflowPunct/>
        <w:topLinePunct w:val="0"/>
        <w:autoSpaceDE/>
        <w:autoSpaceDN/>
        <w:bidi w:val="0"/>
        <w:adjustRightInd w:val="0"/>
        <w:snapToGrid w:val="0"/>
        <w:spacing w:line="560" w:lineRule="exact"/>
        <w:ind w:firstLine="643" w:firstLineChars="200"/>
        <w:rPr>
          <w:rFonts w:ascii="仿宋_GB2312" w:eastAsia="仿宋_GB2312" w:hAnsiTheme="minorEastAsia"/>
          <w:color w:val="0000FF"/>
          <w:sz w:val="32"/>
          <w:szCs w:val="32"/>
        </w:rPr>
      </w:pPr>
      <w:r>
        <w:rPr>
          <w:rFonts w:hint="eastAsia" w:ascii="仿宋_GB2312" w:eastAsia="仿宋_GB2312" w:hAnsiTheme="minorEastAsia"/>
          <w:b/>
          <w:color w:val="auto"/>
          <w:sz w:val="32"/>
          <w:szCs w:val="32"/>
        </w:rPr>
        <w:t>稳步提高社会保障水平。</w:t>
      </w:r>
      <w:r>
        <w:rPr>
          <w:rFonts w:hint="eastAsia" w:ascii="仿宋_GB2312" w:eastAsia="仿宋_GB2312" w:hAnsiTheme="minorEastAsia"/>
          <w:color w:val="auto"/>
          <w:sz w:val="32"/>
          <w:szCs w:val="32"/>
        </w:rPr>
        <w:t>完善企业职工基本</w:t>
      </w:r>
      <w:r>
        <w:rPr>
          <w:rFonts w:hint="eastAsia" w:ascii="仿宋_GB2312" w:eastAsia="仿宋_GB2312" w:hAnsiTheme="minorEastAsia"/>
          <w:sz w:val="32"/>
          <w:szCs w:val="32"/>
        </w:rPr>
        <w:t>养老保险</w:t>
      </w:r>
      <w:r>
        <w:rPr>
          <w:rFonts w:hint="eastAsia" w:ascii="仿宋_GB2312" w:eastAsia="仿宋_GB2312" w:hAnsiTheme="minorEastAsia"/>
          <w:color w:val="auto"/>
          <w:sz w:val="32"/>
          <w:szCs w:val="32"/>
        </w:rPr>
        <w:t>省</w:t>
      </w:r>
      <w:r>
        <w:rPr>
          <w:rFonts w:hint="eastAsia" w:ascii="仿宋_GB2312" w:eastAsia="仿宋_GB2312" w:hAnsiTheme="minorEastAsia"/>
          <w:sz w:val="32"/>
          <w:szCs w:val="32"/>
        </w:rPr>
        <w:t>级统筹配套政策，严格落实广东省推进企业职工基本养老保险全国统筹各项部署，推动市级统筹与全省统筹有序对接。根据国家、省和市的安排适时提高企业退休人员养老金水平，落实随工资增长、物价上涨等因素调整退休人员基本养老金待遇和失业、工伤待遇的政策机制。稳步提高城乡居民养老保险基础养老金待遇水平。完善工伤保险职业康复标准，提高工伤职工重返就业岗位比例。</w:t>
      </w:r>
    </w:p>
    <w:p>
      <w:pPr>
        <w:keepLines w:val="0"/>
        <w:pageBreakBefore w:val="0"/>
        <w:kinsoku/>
        <w:wordWrap/>
        <w:overflowPunct/>
        <w:topLinePunct w:val="0"/>
        <w:autoSpaceDE/>
        <w:autoSpaceDN/>
        <w:bidi w:val="0"/>
        <w:adjustRightInd w:val="0"/>
        <w:snapToGrid w:val="0"/>
        <w:spacing w:line="560" w:lineRule="exact"/>
        <w:ind w:firstLine="643" w:firstLineChars="200"/>
        <w:jc w:val="left"/>
        <w:rPr>
          <w:rFonts w:hint="eastAsia" w:ascii="仿宋_GB2312" w:eastAsia="仿宋_GB2312" w:hAnsiTheme="minorEastAsia"/>
          <w:sz w:val="32"/>
          <w:szCs w:val="32"/>
        </w:rPr>
      </w:pPr>
      <w:r>
        <w:rPr>
          <w:rFonts w:hint="eastAsia" w:ascii="仿宋_GB2312" w:eastAsia="仿宋_GB2312" w:hAnsiTheme="minorEastAsia"/>
          <w:b/>
          <w:sz w:val="32"/>
          <w:szCs w:val="32"/>
        </w:rPr>
        <w:t>健全社保待遇确定和调整机制。</w:t>
      </w:r>
      <w:r>
        <w:rPr>
          <w:rFonts w:hint="eastAsia" w:ascii="仿宋_GB2312" w:eastAsia="仿宋_GB2312" w:hAnsiTheme="minorEastAsia"/>
          <w:sz w:val="32"/>
          <w:szCs w:val="32"/>
        </w:rPr>
        <w:t>坚持尽力而为、量力而行，促进社保待遇水平与</w:t>
      </w:r>
      <w:r>
        <w:rPr>
          <w:rFonts w:hint="eastAsia" w:ascii="仿宋_GB2312" w:eastAsia="仿宋_GB2312" w:hAnsiTheme="minorEastAsia"/>
          <w:sz w:val="32"/>
          <w:szCs w:val="32"/>
          <w:lang w:eastAsia="zh-CN"/>
        </w:rPr>
        <w:t>当地</w:t>
      </w:r>
      <w:r>
        <w:rPr>
          <w:rFonts w:hint="eastAsia" w:ascii="仿宋_GB2312" w:eastAsia="仿宋_GB2312" w:hAnsiTheme="minorEastAsia"/>
          <w:sz w:val="32"/>
          <w:szCs w:val="32"/>
        </w:rPr>
        <w:t>经济发展水平相适应，确保各项社保待遇按时足额发放。统筹安排机关事业单位和企业退休人员的基本养老金调整，逐步建立兼顾各类人员的养老保险待遇正常调整机制。制定和完善城乡社会保险制度衔接办法，加强城乡社会保险制度统筹，完善社会保险关系跨区域跨制度转移接续政策。提高失业保险金标准，建立待遇水平动态增长机制，加大对困难家庭、双失业家庭、大龄失业人员等重点群体的生活保障力度。</w:t>
      </w:r>
    </w:p>
    <w:p>
      <w:pPr>
        <w:pStyle w:val="2"/>
        <w:rPr>
          <w:rFonts w:hint="eastAsia"/>
        </w:rPr>
      </w:pPr>
    </w:p>
    <w:p>
      <w:pPr>
        <w:pStyle w:val="4"/>
        <w:keepNext w:val="0"/>
        <w:keepLines w:val="0"/>
        <w:pageBreakBefore w:val="0"/>
        <w:kinsoku/>
        <w:wordWrap/>
        <w:overflowPunct/>
        <w:topLinePunct w:val="0"/>
        <w:autoSpaceDE/>
        <w:autoSpaceDN/>
        <w:bidi w:val="0"/>
        <w:adjustRightInd w:val="0"/>
        <w:snapToGrid w:val="0"/>
        <w:spacing w:before="120" w:beforeLines="50" w:after="120" w:afterLines="50" w:line="560" w:lineRule="exact"/>
        <w:jc w:val="center"/>
        <w:rPr>
          <w:rFonts w:hint="eastAsia" w:ascii="Cambria" w:hAnsi="Cambria" w:eastAsia="楷体_GB2312"/>
          <w:color w:val="auto"/>
          <w:sz w:val="34"/>
        </w:rPr>
      </w:pPr>
      <w:bookmarkStart w:id="46" w:name="_Toc16480"/>
      <w:r>
        <w:rPr>
          <w:rFonts w:hint="eastAsia" w:ascii="Cambria" w:hAnsi="Cambria" w:eastAsia="楷体_GB2312"/>
          <w:color w:val="000000"/>
          <w:sz w:val="34"/>
        </w:rPr>
        <w:t>第</w:t>
      </w:r>
      <w:r>
        <w:rPr>
          <w:rFonts w:hint="eastAsia" w:ascii="Cambria" w:hAnsi="Cambria" w:eastAsia="楷体_GB2312"/>
          <w:color w:val="000000"/>
          <w:sz w:val="34"/>
          <w:lang w:eastAsia="zh-CN"/>
        </w:rPr>
        <w:t>四</w:t>
      </w:r>
      <w:r>
        <w:rPr>
          <w:rFonts w:hint="eastAsia" w:ascii="Cambria" w:hAnsi="Cambria" w:eastAsia="楷体_GB2312"/>
          <w:color w:val="000000"/>
          <w:sz w:val="34"/>
        </w:rPr>
        <w:t xml:space="preserve">节 </w:t>
      </w:r>
      <w:bookmarkEnd w:id="44"/>
      <w:bookmarkStart w:id="47" w:name="_Toc25109"/>
      <w:r>
        <w:rPr>
          <w:rFonts w:hint="eastAsia" w:ascii="Cambria" w:hAnsi="Cambria" w:eastAsia="楷体_GB2312"/>
          <w:color w:val="auto"/>
          <w:sz w:val="34"/>
        </w:rPr>
        <w:t>提升社会保险经办服务水平</w:t>
      </w:r>
      <w:bookmarkEnd w:id="46"/>
      <w:bookmarkEnd w:id="47"/>
    </w:p>
    <w:p>
      <w:pPr>
        <w:keepLines w:val="0"/>
        <w:pageBreakBefore w:val="0"/>
        <w:kinsoku/>
        <w:wordWrap/>
        <w:overflowPunct/>
        <w:topLinePunct w:val="0"/>
        <w:autoSpaceDE/>
        <w:autoSpaceDN/>
        <w:bidi w:val="0"/>
        <w:adjustRightInd w:val="0"/>
        <w:snapToGrid w:val="0"/>
        <w:spacing w:line="560" w:lineRule="exact"/>
        <w:ind w:firstLine="643" w:firstLineChars="200"/>
        <w:rPr>
          <w:rFonts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highlight w:val="none"/>
          <w:shd w:val="clear" w:color="auto" w:fill="auto"/>
        </w:rPr>
        <w:t>全面优化经办服务管理体系。</w:t>
      </w:r>
      <w:r>
        <w:rPr>
          <w:rFonts w:hint="eastAsia" w:ascii="仿宋_GB2312" w:hAnsi="仿宋_GB2312" w:eastAsia="仿宋_GB2312" w:cs="仿宋_GB2312"/>
          <w:color w:val="auto"/>
          <w:sz w:val="32"/>
          <w:szCs w:val="32"/>
          <w:highlight w:val="none"/>
          <w:shd w:val="clear" w:color="auto" w:fill="auto"/>
        </w:rPr>
        <w:t>规范统一社会保险费征收机构，</w:t>
      </w:r>
      <w:r>
        <w:rPr>
          <w:rFonts w:hint="eastAsia" w:ascii="仿宋_GB2312" w:hAnsi="仿宋_GB2312" w:eastAsia="仿宋_GB2312" w:cs="仿宋_GB2312"/>
          <w:color w:val="auto"/>
          <w:sz w:val="32"/>
          <w:szCs w:val="32"/>
        </w:rPr>
        <w:t>实行由税部门统一征收。</w:t>
      </w:r>
      <w:r>
        <w:rPr>
          <w:rFonts w:hint="eastAsia" w:ascii="仿宋_GB2312" w:hAnsi="仿宋_GB2312" w:eastAsia="仿宋_GB2312" w:cs="仿宋_GB2312"/>
          <w:color w:val="auto"/>
          <w:sz w:val="32"/>
          <w:szCs w:val="32"/>
          <w:highlight w:val="none"/>
          <w:shd w:val="clear" w:color="auto" w:fill="auto"/>
        </w:rPr>
        <w:t>加快经办服务场所、机构、人员、流程、稽核等的整合和规范统一，逐步实现各类社会保险经办服务一体化。加强标准化建设，形成与社会保障改革发展相适应，融信息化建设、参保登记、权益记录、转移接续、待遇领取等业务于一体的标准化体系。</w:t>
      </w:r>
      <w:r>
        <w:rPr>
          <w:rFonts w:hint="eastAsia" w:ascii="仿宋_GB2312" w:hAnsi="仿宋_GB2312" w:eastAsia="仿宋_GB2312" w:cs="仿宋_GB2312"/>
          <w:color w:val="auto"/>
          <w:sz w:val="32"/>
          <w:szCs w:val="32"/>
          <w:highlight w:val="none"/>
          <w:shd w:val="clear" w:color="auto" w:fill="auto"/>
          <w:lang w:val="en-US" w:eastAsia="zh-CN"/>
        </w:rPr>
        <w:t>加快</w:t>
      </w:r>
      <w:r>
        <w:rPr>
          <w:rFonts w:hint="eastAsia" w:ascii="仿宋_GB2312" w:hAnsi="仿宋_GB2312" w:eastAsia="仿宋_GB2312" w:cs="仿宋_GB2312"/>
          <w:color w:val="auto"/>
          <w:sz w:val="32"/>
          <w:szCs w:val="32"/>
          <w:highlight w:val="none"/>
          <w:shd w:val="clear" w:color="auto" w:fill="auto"/>
        </w:rPr>
        <w:t>设立汕尾市城区城乡居民养老保险管理中心经办机构</w:t>
      </w:r>
      <w:r>
        <w:rPr>
          <w:rFonts w:hint="eastAsia" w:ascii="仿宋_GB2312" w:hAnsi="仿宋_GB2312" w:eastAsia="仿宋_GB2312" w:cs="仿宋_GB2312"/>
          <w:color w:val="auto"/>
          <w:sz w:val="32"/>
          <w:szCs w:val="32"/>
          <w:highlight w:val="none"/>
          <w:shd w:val="clear" w:color="auto" w:fill="auto"/>
          <w:lang w:eastAsia="zh-CN"/>
        </w:rPr>
        <w:t>，科学整合现有公共服务资源和社会保险经办管理资源，注重运用政府购买服务方式，充实加强基层经办力量，实现精确管理，便捷服务。</w:t>
      </w:r>
      <w:r>
        <w:rPr>
          <w:rFonts w:hint="eastAsia" w:ascii="仿宋_GB2312" w:hAnsi="仿宋_GB2312" w:eastAsia="仿宋_GB2312" w:cs="仿宋_GB2312"/>
          <w:color w:val="auto"/>
          <w:sz w:val="32"/>
          <w:szCs w:val="32"/>
          <w:highlight w:val="none"/>
          <w:shd w:val="clear" w:color="auto" w:fill="auto"/>
        </w:rPr>
        <w:t>推进社会保险经办业务属地化管理，</w:t>
      </w:r>
      <w:r>
        <w:rPr>
          <w:rFonts w:hint="eastAsia" w:ascii="仿宋_GB2312" w:hAnsi="仿宋_GB2312" w:eastAsia="仿宋_GB2312" w:cs="仿宋_GB2312"/>
          <w:color w:val="auto"/>
          <w:sz w:val="32"/>
          <w:szCs w:val="32"/>
        </w:rPr>
        <w:t>进一步理顺市、区职责关系，</w:t>
      </w:r>
      <w:r>
        <w:rPr>
          <w:rFonts w:hint="eastAsia" w:ascii="仿宋_GB2312" w:hAnsi="仿宋_GB2312" w:eastAsia="仿宋_GB2312" w:cs="仿宋_GB2312"/>
          <w:color w:val="auto"/>
          <w:sz w:val="32"/>
          <w:szCs w:val="32"/>
          <w:highlight w:val="none"/>
          <w:shd w:val="clear" w:color="auto" w:fill="auto"/>
        </w:rPr>
        <w:t>推动区级组织的内设机构设置标准化、扁平化和人员配置科学化，推动多险合一经办。</w:t>
      </w:r>
      <w:r>
        <w:rPr>
          <w:rFonts w:hint="eastAsia" w:ascii="仿宋_GB2312" w:hAnsi="仿宋_GB2312" w:eastAsia="仿宋_GB2312" w:cs="仿宋_GB2312"/>
          <w:color w:val="auto"/>
          <w:sz w:val="32"/>
          <w:szCs w:val="32"/>
        </w:rPr>
        <w:t>推动企业退休人员基本纳入街道社区实行社会化管理。</w:t>
      </w:r>
    </w:p>
    <w:p>
      <w:pPr>
        <w:keepLines w:val="0"/>
        <w:pageBreakBefore w:val="0"/>
        <w:kinsoku/>
        <w:wordWrap/>
        <w:overflowPunct/>
        <w:topLinePunct w:val="0"/>
        <w:autoSpaceDE/>
        <w:autoSpaceDN/>
        <w:bidi w:val="0"/>
        <w:adjustRightInd w:val="0"/>
        <w:snapToGrid w:val="0"/>
        <w:spacing w:line="560" w:lineRule="exact"/>
        <w:ind w:firstLine="643"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b/>
          <w:bCs/>
          <w:color w:val="auto"/>
          <w:sz w:val="32"/>
          <w:szCs w:val="32"/>
          <w:highlight w:val="none"/>
          <w:shd w:val="clear" w:color="auto" w:fill="auto"/>
        </w:rPr>
        <w:t>推动社保经办数字化转型。</w:t>
      </w:r>
      <w:r>
        <w:rPr>
          <w:rFonts w:hint="eastAsia" w:ascii="仿宋_GB2312" w:hAnsi="仿宋_GB2312" w:eastAsia="仿宋_GB2312" w:cs="仿宋_GB2312"/>
          <w:color w:val="auto"/>
          <w:sz w:val="32"/>
          <w:szCs w:val="32"/>
          <w:highlight w:val="none"/>
          <w:shd w:val="clear" w:color="auto" w:fill="auto"/>
        </w:rPr>
        <w:t>优化经办模式，拓展服务渠道，适应移动互联网发展趋势，建设“电子社保”、“掌上社保”，实现社会保障服务更加便捷、高效。</w:t>
      </w:r>
      <w:r>
        <w:rPr>
          <w:rFonts w:hint="eastAsia" w:ascii="仿宋_GB2312" w:hAnsi="仿宋_GB2312" w:eastAsia="仿宋_GB2312" w:cs="仿宋_GB2312"/>
          <w:color w:val="auto"/>
          <w:sz w:val="32"/>
          <w:szCs w:val="32"/>
        </w:rPr>
        <w:t>全面应用并优化集中式社保信息系统，实现业务财务档案的一体化和数字化，</w:t>
      </w:r>
      <w:r>
        <w:rPr>
          <w:rFonts w:hint="eastAsia" w:ascii="仿宋_GB2312" w:hAnsi="仿宋_GB2312" w:eastAsia="仿宋_GB2312" w:cs="仿宋_GB2312"/>
          <w:color w:val="auto"/>
          <w:sz w:val="32"/>
          <w:szCs w:val="32"/>
          <w:highlight w:val="none"/>
          <w:shd w:val="clear" w:color="auto" w:fill="auto"/>
        </w:rPr>
        <w:t>强化人社部门内部及跨部门数据共享。建立统一的社会保险公共服务平台，对接全省社保公共服务平台。建立社保卡“一卡通"服务管理模式，实现社保卡市内通用通办、线上线下一体化应用。畅通线上参保缴费、待遇申领等服务渠道，实现社保关系顺畅衔接，</w:t>
      </w:r>
      <w:r>
        <w:rPr>
          <w:rFonts w:hint="eastAsia" w:ascii="仿宋_GB2312" w:eastAsia="仿宋_GB2312" w:hAnsiTheme="minorEastAsia"/>
          <w:color w:val="auto"/>
          <w:sz w:val="32"/>
          <w:szCs w:val="32"/>
        </w:rPr>
        <w:t>实行工伤医疗费用联网结算，优化异地工伤医疗管理服务。</w:t>
      </w:r>
      <w:r>
        <w:rPr>
          <w:rFonts w:hint="eastAsia" w:ascii="仿宋_GB2312" w:hAnsi="仿宋_GB2312" w:eastAsia="仿宋_GB2312" w:cs="仿宋_GB2312"/>
          <w:color w:val="auto"/>
          <w:sz w:val="32"/>
          <w:szCs w:val="32"/>
          <w:highlight w:val="none"/>
          <w:shd w:val="clear" w:color="auto" w:fill="auto"/>
        </w:rPr>
        <w:t>健全社保领域严重失信人名单管理制度，严格执行社保领域守信联合激励和失信联合惩戒措施，加强社保严重失信黑名单认定和管理。</w:t>
      </w:r>
    </w:p>
    <w:p>
      <w:pPr>
        <w:pStyle w:val="2"/>
        <w:rPr>
          <w:rFonts w:hint="eastAsia"/>
        </w:rPr>
      </w:pPr>
    </w:p>
    <w:p>
      <w:pPr>
        <w:pStyle w:val="3"/>
        <w:keepLines w:val="0"/>
        <w:pageBreakBefore w:val="0"/>
        <w:kinsoku/>
        <w:wordWrap/>
        <w:overflowPunct/>
        <w:topLinePunct w:val="0"/>
        <w:autoSpaceDE/>
        <w:autoSpaceDN/>
        <w:bidi w:val="0"/>
        <w:adjustRightInd w:val="0"/>
        <w:snapToGrid w:val="0"/>
        <w:spacing w:before="120" w:beforeLines="50" w:after="120" w:afterLines="50" w:line="560" w:lineRule="exact"/>
        <w:jc w:val="center"/>
        <w:rPr>
          <w:rFonts w:ascii="Calibri" w:hAnsi="Calibri" w:eastAsia="黑体"/>
          <w:color w:val="auto"/>
          <w:sz w:val="44"/>
          <w:szCs w:val="44"/>
          <w:lang w:val="en-US" w:eastAsia="zh-CN"/>
        </w:rPr>
      </w:pPr>
      <w:bookmarkStart w:id="48" w:name="_Toc19539"/>
      <w:bookmarkStart w:id="49" w:name="_Toc897"/>
      <w:r>
        <w:rPr>
          <w:rFonts w:hint="eastAsia" w:ascii="Calibri" w:hAnsi="Calibri" w:eastAsia="黑体"/>
          <w:color w:val="auto"/>
          <w:sz w:val="44"/>
          <w:szCs w:val="44"/>
          <w:lang w:val="en-US" w:eastAsia="zh-CN"/>
        </w:rPr>
        <w:t>第六章</w:t>
      </w:r>
      <w:r>
        <w:rPr>
          <w:rFonts w:ascii="Calibri" w:hAnsi="Calibri" w:eastAsia="黑体"/>
          <w:color w:val="auto"/>
          <w:sz w:val="44"/>
          <w:szCs w:val="44"/>
          <w:lang w:val="en-US" w:eastAsia="zh-CN"/>
        </w:rPr>
        <w:t xml:space="preserve"> </w:t>
      </w:r>
      <w:r>
        <w:rPr>
          <w:rFonts w:hint="eastAsia" w:ascii="Calibri" w:hAnsi="Calibri" w:eastAsia="黑体"/>
          <w:color w:val="auto"/>
          <w:sz w:val="44"/>
          <w:szCs w:val="44"/>
          <w:lang w:val="en-US" w:eastAsia="zh-CN"/>
        </w:rPr>
        <w:t xml:space="preserve"> 建设高水平人才队</w:t>
      </w:r>
      <w:bookmarkEnd w:id="40"/>
      <w:r>
        <w:rPr>
          <w:rFonts w:hint="eastAsia" w:ascii="Calibri" w:hAnsi="Calibri" w:eastAsia="黑体"/>
          <w:color w:val="auto"/>
          <w:sz w:val="44"/>
          <w:szCs w:val="44"/>
          <w:lang w:val="en-US" w:eastAsia="zh-CN"/>
        </w:rPr>
        <w:t>伍</w:t>
      </w:r>
      <w:bookmarkEnd w:id="48"/>
      <w:bookmarkEnd w:id="49"/>
    </w:p>
    <w:p>
      <w:pPr>
        <w:keepLines w:val="0"/>
        <w:pageBreakBefore w:val="0"/>
        <w:kinsoku/>
        <w:wordWrap/>
        <w:overflowPunct/>
        <w:topLinePunct w:val="0"/>
        <w:autoSpaceDE/>
        <w:autoSpaceDN/>
        <w:bidi w:val="0"/>
        <w:adjustRightInd w:val="0"/>
        <w:snapToGrid w:val="0"/>
        <w:spacing w:line="560" w:lineRule="exact"/>
        <w:ind w:firstLine="640" w:firstLineChars="200"/>
        <w:rPr>
          <w:rStyle w:val="17"/>
          <w:rFonts w:hAnsi="仿宋" w:eastAsia="仿宋_GB2312" w:cs="仿宋"/>
          <w:sz w:val="32"/>
          <w:szCs w:val="32"/>
        </w:rPr>
      </w:pPr>
      <w:bookmarkStart w:id="50" w:name="_Toc29194"/>
      <w:r>
        <w:rPr>
          <w:rStyle w:val="17"/>
          <w:rFonts w:hint="eastAsia" w:hAnsi="仿宋" w:eastAsia="仿宋_GB2312" w:cs="仿宋"/>
          <w:color w:val="auto"/>
          <w:sz w:val="32"/>
          <w:szCs w:val="32"/>
        </w:rPr>
        <w:t>坚持党管人才原则</w:t>
      </w:r>
      <w:r>
        <w:rPr>
          <w:rStyle w:val="17"/>
          <w:rFonts w:hint="eastAsia" w:hAnsi="仿宋" w:eastAsia="仿宋_GB2312" w:cs="仿宋"/>
          <w:color w:val="auto"/>
          <w:sz w:val="32"/>
          <w:szCs w:val="32"/>
          <w:lang w:eastAsia="zh-CN"/>
        </w:rPr>
        <w:t>。</w:t>
      </w:r>
      <w:r>
        <w:rPr>
          <w:rStyle w:val="17"/>
          <w:rFonts w:hint="eastAsia" w:hAnsi="仿宋" w:eastAsia="仿宋_GB2312" w:cs="仿宋"/>
          <w:sz w:val="32"/>
          <w:szCs w:val="32"/>
        </w:rPr>
        <w:t>加强专业技术人才、技能人才队伍建设，协同现代产业发展，支撑经济社会转型，深入实施人才强</w:t>
      </w:r>
      <w:r>
        <w:rPr>
          <w:rStyle w:val="17"/>
          <w:rFonts w:hint="eastAsia" w:hAnsi="仿宋" w:eastAsia="仿宋_GB2312" w:cs="仿宋"/>
          <w:sz w:val="32"/>
          <w:szCs w:val="32"/>
          <w:lang w:eastAsia="zh-CN"/>
        </w:rPr>
        <w:t>区</w:t>
      </w:r>
      <w:r>
        <w:rPr>
          <w:rStyle w:val="17"/>
          <w:rFonts w:hint="eastAsia" w:hAnsi="仿宋" w:eastAsia="仿宋_GB2312" w:cs="仿宋"/>
          <w:sz w:val="32"/>
          <w:szCs w:val="32"/>
        </w:rPr>
        <w:t>战略，大力推进人才发展体制机制改革和政策创新，持续优化人才发展环境和服务保障，全面提升高水平人才集聚能力。</w:t>
      </w:r>
    </w:p>
    <w:p>
      <w:pPr>
        <w:pStyle w:val="4"/>
        <w:keepNext w:val="0"/>
        <w:keepLines w:val="0"/>
        <w:pageBreakBefore w:val="0"/>
        <w:kinsoku/>
        <w:wordWrap/>
        <w:overflowPunct/>
        <w:topLinePunct w:val="0"/>
        <w:autoSpaceDE/>
        <w:autoSpaceDN/>
        <w:bidi w:val="0"/>
        <w:adjustRightInd w:val="0"/>
        <w:snapToGrid w:val="0"/>
        <w:spacing w:before="120" w:beforeLines="50" w:after="120" w:afterLines="50" w:line="560" w:lineRule="exact"/>
        <w:ind w:left="200"/>
        <w:jc w:val="center"/>
        <w:rPr>
          <w:rFonts w:ascii="Cambria" w:hAnsi="Cambria" w:eastAsia="楷体_GB2312"/>
          <w:color w:val="000000"/>
          <w:sz w:val="34"/>
        </w:rPr>
      </w:pPr>
      <w:bookmarkStart w:id="51" w:name="_Toc5372"/>
      <w:bookmarkStart w:id="52" w:name="_Toc15988"/>
      <w:r>
        <w:rPr>
          <w:rFonts w:hint="eastAsia" w:ascii="Cambria" w:hAnsi="Cambria" w:eastAsia="楷体_GB2312"/>
          <w:color w:val="000000"/>
          <w:sz w:val="34"/>
        </w:rPr>
        <w:t>第一节  加快建设高层次专业技术人才队伍</w:t>
      </w:r>
      <w:bookmarkEnd w:id="51"/>
      <w:bookmarkEnd w:id="52"/>
    </w:p>
    <w:p>
      <w:pPr>
        <w:keepLines w:val="0"/>
        <w:pageBreakBefore w:val="0"/>
        <w:kinsoku/>
        <w:wordWrap/>
        <w:overflowPunct/>
        <w:topLinePunct w:val="0"/>
        <w:autoSpaceDE/>
        <w:autoSpaceDN/>
        <w:bidi w:val="0"/>
        <w:adjustRightInd w:val="0"/>
        <w:snapToGrid w:val="0"/>
        <w:spacing w:line="560" w:lineRule="exact"/>
        <w:ind w:firstLine="643" w:firstLineChars="200"/>
        <w:rPr>
          <w:color w:val="auto"/>
        </w:rPr>
      </w:pPr>
      <w:r>
        <w:rPr>
          <w:rStyle w:val="17"/>
          <w:rFonts w:hint="eastAsia" w:hAnsi="仿宋" w:eastAsia="仿宋_GB2312" w:cs="仿宋"/>
          <w:b/>
          <w:sz w:val="32"/>
          <w:szCs w:val="32"/>
        </w:rPr>
        <w:t>深化专业技术职称制度改革。</w:t>
      </w:r>
      <w:r>
        <w:rPr>
          <w:rStyle w:val="17"/>
          <w:rFonts w:hint="eastAsia" w:hAnsi="仿宋" w:eastAsia="仿宋_GB2312" w:cs="仿宋"/>
          <w:color w:val="auto"/>
          <w:sz w:val="32"/>
          <w:szCs w:val="32"/>
        </w:rPr>
        <w:t>完善职称管理体系，促进职称政策与人事人才政策相衔接。在中小学职称改革基础上，逐步在其他系统探索建立与人事人才政策相衔接，建立健全评聘分开制度。将社会化职称评定职能全面下放给具备条件的行业组织，支持民营企业、社会组织参与职称评价。制定行业组织承接职称评审职能监管办法。争取在卫生、建筑等专业组建中初级职称评审委员会。在新型研发机构、大型骨干企业、高新技术企业等开展职称自主评价试点。将技术创新、高新技术成果转化、发明专利转化等方面取得的经济效益和社会效益作为职称评审的重要条件。推进职称信息化建设，建立健全职称申报兜底机制，畅通各类型专业技术人才职称申报渠道。</w:t>
      </w:r>
    </w:p>
    <w:p>
      <w:pPr>
        <w:keepLines w:val="0"/>
        <w:pageBreakBefore w:val="0"/>
        <w:kinsoku/>
        <w:wordWrap/>
        <w:overflowPunct/>
        <w:topLinePunct w:val="0"/>
        <w:autoSpaceDE/>
        <w:autoSpaceDN/>
        <w:bidi w:val="0"/>
        <w:adjustRightInd w:val="0"/>
        <w:snapToGrid w:val="0"/>
        <w:spacing w:line="560" w:lineRule="exact"/>
        <w:ind w:firstLine="643" w:firstLineChars="200"/>
        <w:rPr>
          <w:rStyle w:val="17"/>
        </w:rPr>
      </w:pPr>
      <w:r>
        <w:rPr>
          <w:rStyle w:val="17"/>
          <w:rFonts w:hint="eastAsia" w:hAnsi="仿宋" w:eastAsia="仿宋_GB2312" w:cs="仿宋"/>
          <w:b/>
          <w:sz w:val="32"/>
          <w:szCs w:val="32"/>
        </w:rPr>
        <w:t>推进新时代博士</w:t>
      </w:r>
      <w:r>
        <w:rPr>
          <w:rStyle w:val="17"/>
          <w:rFonts w:hint="eastAsia" w:hAnsi="仿宋" w:eastAsia="仿宋_GB2312" w:cs="仿宋"/>
          <w:b/>
          <w:sz w:val="32"/>
          <w:szCs w:val="32"/>
          <w:lang w:eastAsia="zh-CN"/>
        </w:rPr>
        <w:t>高层次</w:t>
      </w:r>
      <w:r>
        <w:rPr>
          <w:rStyle w:val="17"/>
          <w:rFonts w:hint="eastAsia" w:hAnsi="仿宋" w:eastAsia="仿宋_GB2312" w:cs="仿宋"/>
          <w:b/>
          <w:sz w:val="32"/>
          <w:szCs w:val="32"/>
        </w:rPr>
        <w:t>人才创新发展。</w:t>
      </w:r>
      <w:r>
        <w:rPr>
          <w:rStyle w:val="17"/>
          <w:rFonts w:hint="eastAsia" w:hAnsi="仿宋" w:eastAsia="仿宋_GB2312" w:cs="仿宋"/>
          <w:sz w:val="32"/>
          <w:szCs w:val="32"/>
        </w:rPr>
        <w:t>大力招揽海内外优秀</w:t>
      </w:r>
      <w:r>
        <w:rPr>
          <w:rStyle w:val="17"/>
          <w:rFonts w:hint="eastAsia" w:hAnsi="仿宋" w:eastAsia="仿宋_GB2312" w:cs="仿宋"/>
          <w:sz w:val="32"/>
          <w:szCs w:val="32"/>
          <w:lang w:eastAsia="zh-CN"/>
        </w:rPr>
        <w:t>高层次人才</w:t>
      </w:r>
      <w:r>
        <w:rPr>
          <w:rStyle w:val="17"/>
          <w:rFonts w:hint="eastAsia" w:hAnsi="仿宋" w:eastAsia="仿宋_GB2312" w:cs="仿宋"/>
          <w:sz w:val="32"/>
          <w:szCs w:val="32"/>
        </w:rPr>
        <w:t>来汕尾工作。完善博士后资助政策，拓展招收渠道，搭建优化发展平台，鼓励支持高端产业开展博士后工作。加大博士后招收力度，依托国内著名高校和深圳研究机构，深化深汕博士后人才与项目的合作。鼓励支持参加广东“众创杯”博士博士后创新赛。支持博士后到众创空间开展创新创业，促进人才、技术、资本的高效配置和有效整合。组织</w:t>
      </w:r>
      <w:r>
        <w:rPr>
          <w:rStyle w:val="17"/>
          <w:rFonts w:hint="eastAsia" w:hAnsi="仿宋" w:eastAsia="仿宋_GB2312" w:cs="仿宋"/>
          <w:sz w:val="32"/>
          <w:szCs w:val="32"/>
          <w:lang w:eastAsia="zh-CN"/>
        </w:rPr>
        <w:t>高层次人才沙龙</w:t>
      </w:r>
      <w:r>
        <w:rPr>
          <w:rStyle w:val="17"/>
          <w:rFonts w:hint="eastAsia" w:hAnsi="仿宋" w:eastAsia="仿宋_GB2312" w:cs="仿宋"/>
          <w:sz w:val="32"/>
          <w:szCs w:val="32"/>
        </w:rPr>
        <w:t>活动，营造学术交流氛围。</w:t>
      </w:r>
    </w:p>
    <w:p>
      <w:pPr>
        <w:keepLines w:val="0"/>
        <w:pageBreakBefore w:val="0"/>
        <w:kinsoku/>
        <w:wordWrap/>
        <w:overflowPunct/>
        <w:topLinePunct w:val="0"/>
        <w:autoSpaceDE/>
        <w:autoSpaceDN/>
        <w:bidi w:val="0"/>
        <w:adjustRightInd w:val="0"/>
        <w:snapToGrid w:val="0"/>
        <w:spacing w:line="560" w:lineRule="exact"/>
        <w:ind w:firstLine="643" w:firstLineChars="200"/>
        <w:rPr>
          <w:rStyle w:val="17"/>
          <w:rFonts w:hAnsi="仿宋" w:eastAsia="仿宋_GB2312" w:cs="仿宋"/>
          <w:color w:val="auto"/>
          <w:sz w:val="32"/>
          <w:szCs w:val="32"/>
        </w:rPr>
      </w:pPr>
      <w:r>
        <w:rPr>
          <w:rStyle w:val="17"/>
          <w:rFonts w:hint="eastAsia" w:hAnsi="仿宋" w:eastAsia="仿宋_GB2312" w:cs="仿宋"/>
          <w:b/>
          <w:sz w:val="32"/>
          <w:szCs w:val="32"/>
        </w:rPr>
        <w:t>优化专技人才继续教育</w:t>
      </w:r>
      <w:r>
        <w:rPr>
          <w:rStyle w:val="17"/>
          <w:rFonts w:hint="eastAsia" w:hAnsi="仿宋" w:eastAsia="仿宋_GB2312" w:cs="仿宋"/>
          <w:b/>
          <w:color w:val="auto"/>
          <w:sz w:val="32"/>
          <w:szCs w:val="32"/>
        </w:rPr>
        <w:t>。</w:t>
      </w:r>
      <w:r>
        <w:rPr>
          <w:rStyle w:val="17"/>
          <w:rFonts w:hint="eastAsia" w:hAnsi="仿宋" w:eastAsia="仿宋_GB2312" w:cs="仿宋"/>
          <w:color w:val="auto"/>
          <w:sz w:val="32"/>
          <w:szCs w:val="32"/>
        </w:rPr>
        <w:t>深入落实《广东省专业技术人员继续教育条例》《专业技术人员继续教育规定》，大力实施专业技术人才知识更新工程，着力提升专业技术人才的综合素质、专业水平和创新能力。创新继续教育方式，提升线上培训服务质量。按照高水平、小规模、重特色的要求，组织本区专业技术人员参加各类国家级、省级中高级研修项目。进一步强化继续教育对提升基层专业技术人才能力素质的主渠道作用。联合有关施教机构主动承担培训任务，为基层专业技术人才提供形式多样的继续教育服务。</w:t>
      </w:r>
    </w:p>
    <w:p>
      <w:pPr>
        <w:pStyle w:val="4"/>
        <w:keepNext w:val="0"/>
        <w:keepLines w:val="0"/>
        <w:pageBreakBefore w:val="0"/>
        <w:kinsoku/>
        <w:wordWrap/>
        <w:overflowPunct/>
        <w:topLinePunct w:val="0"/>
        <w:autoSpaceDE/>
        <w:autoSpaceDN/>
        <w:bidi w:val="0"/>
        <w:adjustRightInd w:val="0"/>
        <w:snapToGrid w:val="0"/>
        <w:spacing w:before="120" w:beforeLines="50" w:after="120" w:afterLines="50" w:line="560" w:lineRule="exact"/>
        <w:ind w:left="200"/>
        <w:jc w:val="center"/>
        <w:rPr>
          <w:rFonts w:ascii="Cambria" w:hAnsi="Cambria" w:eastAsia="楷体_GB2312"/>
          <w:color w:val="auto"/>
          <w:sz w:val="34"/>
        </w:rPr>
      </w:pPr>
      <w:bookmarkStart w:id="53" w:name="_Toc17540"/>
      <w:bookmarkStart w:id="54" w:name="_Toc19335"/>
      <w:r>
        <w:rPr>
          <w:rFonts w:hint="eastAsia" w:ascii="Cambria" w:hAnsi="Cambria" w:eastAsia="楷体_GB2312"/>
          <w:color w:val="auto"/>
          <w:sz w:val="34"/>
        </w:rPr>
        <w:t>第二节  扩大高水平技能人才有效供给</w:t>
      </w:r>
      <w:bookmarkEnd w:id="53"/>
      <w:bookmarkEnd w:id="54"/>
    </w:p>
    <w:p>
      <w:pPr>
        <w:keepLines w:val="0"/>
        <w:pageBreakBefore w:val="0"/>
        <w:kinsoku/>
        <w:wordWrap/>
        <w:overflowPunct/>
        <w:topLinePunct w:val="0"/>
        <w:autoSpaceDE/>
        <w:autoSpaceDN/>
        <w:bidi w:val="0"/>
        <w:adjustRightInd w:val="0"/>
        <w:snapToGrid w:val="0"/>
        <w:spacing w:line="560" w:lineRule="exact"/>
        <w:ind w:firstLine="643" w:firstLineChars="200"/>
        <w:rPr>
          <w:rFonts w:hAnsi="仿宋_GB2312" w:eastAsia="仿宋_GB2312" w:cs="仿宋_GB2312"/>
          <w:color w:val="auto"/>
          <w:sz w:val="32"/>
          <w:szCs w:val="32"/>
        </w:rPr>
      </w:pPr>
      <w:r>
        <w:rPr>
          <w:rFonts w:hint="eastAsia" w:ascii="仿宋_GB2312" w:hAnsi="仿宋_GB2312" w:eastAsia="仿宋_GB2312" w:cs="仿宋_GB2312"/>
          <w:b/>
          <w:bCs/>
          <w:color w:val="auto"/>
          <w:sz w:val="32"/>
          <w:szCs w:val="32"/>
        </w:rPr>
        <w:t>开展大规模职业技能培训</w:t>
      </w:r>
      <w:r>
        <w:rPr>
          <w:rFonts w:hint="eastAsia" w:ascii="仿宋_GB2312" w:hAnsi="仿宋_GB2312" w:eastAsia="仿宋_GB2312" w:cs="仿宋_GB2312"/>
          <w:color w:val="auto"/>
          <w:sz w:val="32"/>
          <w:szCs w:val="32"/>
        </w:rPr>
        <w:t>。充分发挥院校和企业培训主体作用，依托市场化力量，全面实施职业技能提升行动，推行终身职业技能培训制度，全面提升劳动者技能素质。扩大职业技能培训网络覆盖面，创新“上线下乡”双向培训模式，支持企业和院校等设立“技能网校”，推广“互联网</w:t>
      </w: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rPr>
        <w:t>”线上职业技能培训。支持企业和院校深入基层乡镇设立培训点，开展“送教下乡”培训，促进城乡劳动力“就地培训、就近就业”。灵活运用技能提升培训、适岗培训、企业新型学徒培养等多种培训方式，重点加强对企业职工、就业困难人员、“两后生”、高校毕业生、农民工、新型职业农民等重点群体劳动力职业技能培训，确保覆盖每一个有培训愿望的劳动力。充分释放培训补贴资金红利，落实企业紧缺急需职业（工种）高级工以上技能提升补贴提高30%政策，强化资金保障，完善资金使用管理制度，提高培训补贴资金使用效率。</w:t>
      </w:r>
    </w:p>
    <w:p>
      <w:pPr>
        <w:keepLines w:val="0"/>
        <w:pageBreakBefore w:val="0"/>
        <w:kinsoku/>
        <w:wordWrap/>
        <w:overflowPunct/>
        <w:topLinePunct w:val="0"/>
        <w:autoSpaceDE/>
        <w:autoSpaceDN/>
        <w:bidi w:val="0"/>
        <w:adjustRightInd w:val="0"/>
        <w:snapToGrid w:val="0"/>
        <w:spacing w:line="560" w:lineRule="exact"/>
        <w:ind w:firstLine="643" w:firstLineChars="200"/>
        <w:rPr>
          <w:rFonts w:hAnsi="仿宋_GB2312" w:eastAsia="仿宋_GB2312" w:cs="仿宋_GB2312"/>
          <w:color w:val="auto"/>
          <w:sz w:val="32"/>
          <w:szCs w:val="32"/>
        </w:rPr>
      </w:pPr>
      <w:r>
        <w:rPr>
          <w:rFonts w:hint="eastAsia" w:ascii="仿宋_GB2312" w:hAnsi="仿宋_GB2312" w:eastAsia="仿宋_GB2312" w:cs="仿宋_GB2312"/>
          <w:b/>
          <w:bCs/>
          <w:color w:val="auto"/>
          <w:sz w:val="32"/>
          <w:szCs w:val="32"/>
        </w:rPr>
        <w:t>完善技能人才评价激励机制。</w:t>
      </w:r>
      <w:r>
        <w:rPr>
          <w:rFonts w:hint="eastAsia" w:ascii="仿宋_GB2312" w:hAnsi="仿宋_GB2312" w:eastAsia="仿宋_GB2312" w:cs="仿宋_GB2312"/>
          <w:color w:val="auto"/>
          <w:sz w:val="32"/>
          <w:szCs w:val="32"/>
        </w:rPr>
        <w:t>以职业技能等级证书制度改革为重点，建立健全以职业资格评价、职业技能等级认定和专项职业能力考核等为主要内容的技能人才多元评价制度，拓宽技能人才发展通道。推动用人单位建立职工凭技能得到使用晋升、凭业绩贡献确定薪酬待遇的激励制度。</w:t>
      </w:r>
    </w:p>
    <w:p>
      <w:pPr>
        <w:keepLines w:val="0"/>
        <w:pageBreakBefore w:val="0"/>
        <w:kinsoku/>
        <w:wordWrap/>
        <w:overflowPunct/>
        <w:topLinePunct w:val="0"/>
        <w:autoSpaceDE/>
        <w:autoSpaceDN/>
        <w:bidi w:val="0"/>
        <w:adjustRightInd w:val="0"/>
        <w:snapToGrid w:val="0"/>
        <w:spacing w:line="560" w:lineRule="exact"/>
        <w:ind w:firstLine="643" w:firstLineChars="200"/>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大力弘扬新时期工匠精神。</w:t>
      </w:r>
      <w:r>
        <w:rPr>
          <w:rFonts w:hint="eastAsia" w:ascii="仿宋_GB2312" w:hAnsi="仿宋_GB2312" w:eastAsia="仿宋_GB2312" w:cs="仿宋_GB2312"/>
          <w:color w:val="auto"/>
          <w:sz w:val="32"/>
          <w:szCs w:val="32"/>
        </w:rPr>
        <w:t>加大对工匠精神、工匠文化的研究力度，将工匠精神列为职业培训机构通用职业素质必修课，融入专业教学、实习实训、就业指导等教学环节，贯穿教育培训全过程。推广和打造</w:t>
      </w:r>
      <w:r>
        <w:rPr>
          <w:rFonts w:hint="eastAsia" w:ascii="仿宋_GB2312" w:hAnsi="仿宋_GB2312" w:eastAsia="仿宋_GB2312" w:cs="仿宋_GB2312"/>
          <w:color w:val="auto"/>
          <w:sz w:val="32"/>
          <w:szCs w:val="32"/>
          <w:lang w:val="zh-CN" w:bidi="zh-CN"/>
        </w:rPr>
        <w:t>“</w:t>
      </w:r>
      <w:r>
        <w:rPr>
          <w:rFonts w:hint="eastAsia" w:ascii="仿宋_GB2312" w:hAnsi="仿宋_GB2312" w:eastAsia="仿宋_GB2312" w:cs="仿宋_GB2312"/>
          <w:color w:val="auto"/>
          <w:sz w:val="32"/>
          <w:szCs w:val="32"/>
          <w:lang w:bidi="zh-CN"/>
        </w:rPr>
        <w:t>善美</w:t>
      </w:r>
      <w:r>
        <w:rPr>
          <w:rFonts w:hint="eastAsia" w:ascii="仿宋_GB2312" w:hAnsi="仿宋_GB2312" w:eastAsia="仿宋_GB2312" w:cs="仿宋_GB2312"/>
          <w:color w:val="auto"/>
          <w:sz w:val="32"/>
          <w:szCs w:val="32"/>
        </w:rPr>
        <w:t>工匠”等电视节目品牌，大力宣传技能人才在经济高质量发展中的重要作用，选一批重视技能的企业和技能人才典型，</w:t>
      </w:r>
      <w:r>
        <w:rPr>
          <w:rFonts w:ascii="仿宋_GB2312" w:hAnsi="仿宋_GB2312" w:eastAsia="仿宋_GB2312" w:cs="仿宋_GB2312"/>
          <w:color w:val="auto"/>
          <w:sz w:val="32"/>
          <w:szCs w:val="32"/>
        </w:rPr>
        <w:t>营造崇尚技能的社会氛围。</w:t>
      </w:r>
    </w:p>
    <w:p>
      <w:pPr>
        <w:pStyle w:val="4"/>
        <w:keepNext w:val="0"/>
        <w:keepLines w:val="0"/>
        <w:pageBreakBefore w:val="0"/>
        <w:kinsoku/>
        <w:wordWrap/>
        <w:overflowPunct/>
        <w:topLinePunct w:val="0"/>
        <w:autoSpaceDE/>
        <w:autoSpaceDN/>
        <w:bidi w:val="0"/>
        <w:adjustRightInd w:val="0"/>
        <w:snapToGrid w:val="0"/>
        <w:spacing w:before="120" w:beforeLines="50" w:after="120" w:afterLines="50" w:line="560" w:lineRule="exact"/>
        <w:ind w:left="200"/>
        <w:jc w:val="center"/>
        <w:rPr>
          <w:rFonts w:ascii="Cambria" w:hAnsi="Cambria" w:eastAsia="楷体_GB2312"/>
          <w:color w:val="auto"/>
          <w:sz w:val="34"/>
        </w:rPr>
      </w:pPr>
      <w:bookmarkStart w:id="55" w:name="_Toc31314"/>
      <w:bookmarkStart w:id="56" w:name="_Toc18868"/>
      <w:r>
        <w:rPr>
          <w:rFonts w:hint="eastAsia" w:ascii="Cambria" w:hAnsi="Cambria" w:eastAsia="楷体_GB2312"/>
          <w:color w:val="auto"/>
          <w:sz w:val="34"/>
        </w:rPr>
        <w:t>第三节  实施重大人才培养工程</w:t>
      </w:r>
      <w:bookmarkEnd w:id="55"/>
      <w:bookmarkEnd w:id="56"/>
    </w:p>
    <w:p>
      <w:pPr>
        <w:pStyle w:val="20"/>
        <w:keepLines w:val="0"/>
        <w:pageBreakBefore w:val="0"/>
        <w:kinsoku/>
        <w:wordWrap/>
        <w:overflowPunct/>
        <w:topLinePunct w:val="0"/>
        <w:autoSpaceDE/>
        <w:autoSpaceDN/>
        <w:bidi w:val="0"/>
        <w:adjustRightInd w:val="0"/>
        <w:snapToGrid w:val="0"/>
        <w:spacing w:line="560" w:lineRule="exact"/>
        <w:ind w:firstLine="643" w:firstLineChars="200"/>
        <w:rPr>
          <w:rFonts w:hint="eastAsia" w:ascii="仿宋_GB2312" w:hAnsi="仿宋_GB2312" w:eastAsia="仿宋_GB2312" w:cs="仿宋_GB2312"/>
          <w:color w:val="auto"/>
          <w:sz w:val="32"/>
          <w:szCs w:val="32"/>
          <w:lang w:val="en-US" w:eastAsia="zh-CN" w:bidi="ar-SA"/>
        </w:rPr>
      </w:pPr>
      <w:r>
        <w:rPr>
          <w:rFonts w:hint="eastAsia" w:ascii="仿宋_GB2312" w:hAnsi="仿宋_GB2312" w:eastAsia="仿宋_GB2312" w:cs="仿宋_GB2312"/>
          <w:b/>
          <w:color w:val="auto"/>
          <w:sz w:val="32"/>
          <w:szCs w:val="32"/>
          <w:lang w:val="en-US" w:bidi="ar-SA"/>
        </w:rPr>
        <w:t>打造“善美工匠”品牌。</w:t>
      </w:r>
      <w:r>
        <w:rPr>
          <w:rFonts w:hint="eastAsia" w:ascii="仿宋_GB2312" w:hAnsi="仿宋_GB2312" w:eastAsia="仿宋_GB2312" w:cs="仿宋_GB2312"/>
          <w:color w:val="auto"/>
          <w:sz w:val="32"/>
          <w:szCs w:val="32"/>
          <w:lang w:val="en-US" w:eastAsia="zh-CN" w:bidi="ar-SA"/>
        </w:rPr>
        <w:t>推动职业、技工教育与现代产业高质量协同发展，大力实施服务现代产业发展行动、技工教育大发展行动、职业技能提升行动、创新评价激励机制先导行动、菁英培育成长行动、技能就业创业行动、工匠精神培育弘扬行动等七大行动计划。实施“广东技工”工程，到2025年，我区“广东技工”规模更加大、结果更加优良、年龄梯队更加完善、技术技能更加精湛。</w:t>
      </w:r>
    </w:p>
    <w:p>
      <w:pPr>
        <w:pStyle w:val="20"/>
        <w:keepLines w:val="0"/>
        <w:pageBreakBefore w:val="0"/>
        <w:kinsoku/>
        <w:wordWrap/>
        <w:overflowPunct/>
        <w:topLinePunct w:val="0"/>
        <w:autoSpaceDE/>
        <w:autoSpaceDN/>
        <w:bidi w:val="0"/>
        <w:adjustRightInd w:val="0"/>
        <w:snapToGrid w:val="0"/>
        <w:spacing w:line="560" w:lineRule="exact"/>
        <w:ind w:firstLine="643" w:firstLineChars="200"/>
        <w:rPr>
          <w:rFonts w:ascii="仿宋_GB2312" w:hAnsi="仿宋_GB2312" w:eastAsia="仿宋_GB2312" w:cs="仿宋_GB2312"/>
          <w:color w:val="auto"/>
          <w:sz w:val="32"/>
          <w:szCs w:val="32"/>
          <w:lang w:val="en-US" w:eastAsia="zh-CN" w:bidi="ar-SA"/>
        </w:rPr>
      </w:pPr>
      <w:r>
        <w:rPr>
          <w:rFonts w:hint="eastAsia" w:ascii="仿宋_GB2312" w:hAnsi="仿宋_GB2312" w:eastAsia="仿宋_GB2312" w:cs="仿宋_GB2312"/>
          <w:b/>
          <w:color w:val="auto"/>
          <w:sz w:val="32"/>
          <w:szCs w:val="32"/>
          <w:lang w:val="en-US" w:bidi="ar-SA"/>
        </w:rPr>
        <w:t>打造“吃在汕尾”品牌。</w:t>
      </w:r>
      <w:r>
        <w:rPr>
          <w:rFonts w:hint="eastAsia" w:ascii="仿宋_GB2312" w:hAnsi="仿宋_GB2312" w:eastAsia="仿宋_GB2312" w:cs="仿宋_GB2312"/>
          <w:color w:val="auto"/>
          <w:sz w:val="32"/>
          <w:szCs w:val="32"/>
          <w:lang w:val="en-US" w:eastAsia="zh-CN" w:bidi="ar-SA"/>
        </w:rPr>
        <w:t>构建完善“粤菜师傅”人才体系，加快建设一批高质量“粤菜师傅”培训基地、大师工作室和乡村特色培训点，加强“粤菜师傅+抖音”并给予适当资金扶持。充分发挥职业院校和餐饮行业企业培训主体作用，推进“粤菜师傅+抖音”等云培训模式，大规模开展“粤菜师傅”培养培训。建立健全“粤菜师傅”标准体系，创新开发一批“汕尾特色”“粤菜师傅”专项职业能力和课程标准，推动形成“汕尾风味菜”菜品标准。积极构建“粤菜师傅”文化体系，创新打造“吃在汕尾”系列主题宣传片、纪录片等，持续举办“吃在汕尾”系列“粤菜师傅”活动，提升“粤菜师傅”品牌影响力。推进二马路“粤菜师傅美食一条街”改造，将“粤菜师傅美食一条街”打造成“粤菜师傅”培养示范基地、产业促进平台、综合服务平台、工程交流合作平台等“一基地三平台”。到2025年，全区开展“粤菜师傅”培训1000人次以上，带动2500人以上实现就业创业。</w:t>
      </w:r>
    </w:p>
    <w:p>
      <w:pPr>
        <w:pStyle w:val="20"/>
        <w:keepLines w:val="0"/>
        <w:pageBreakBefore w:val="0"/>
        <w:kinsoku/>
        <w:wordWrap/>
        <w:overflowPunct/>
        <w:topLinePunct w:val="0"/>
        <w:autoSpaceDE/>
        <w:autoSpaceDN/>
        <w:bidi w:val="0"/>
        <w:adjustRightInd w:val="0"/>
        <w:snapToGrid w:val="0"/>
        <w:spacing w:line="560" w:lineRule="exact"/>
        <w:ind w:firstLine="643" w:firstLineChars="200"/>
        <w:rPr>
          <w:rFonts w:hint="eastAsia" w:ascii="仿宋_GB2312" w:eastAsia="仿宋_GB2312" w:hAnsiTheme="minorEastAsia" w:cstheme="minorBidi"/>
          <w:color w:val="auto"/>
          <w:kern w:val="2"/>
          <w:sz w:val="32"/>
          <w:szCs w:val="32"/>
          <w:lang w:val="en-US" w:eastAsia="zh-CN" w:bidi="ar-SA"/>
        </w:rPr>
      </w:pPr>
      <w:r>
        <w:rPr>
          <w:rFonts w:hint="eastAsia" w:ascii="仿宋_GB2312" w:hAnsi="仿宋_GB2312" w:eastAsia="仿宋_GB2312" w:cs="仿宋_GB2312"/>
          <w:b/>
          <w:color w:val="auto"/>
          <w:sz w:val="32"/>
          <w:szCs w:val="32"/>
        </w:rPr>
        <w:t>推进</w:t>
      </w:r>
      <w:r>
        <w:rPr>
          <w:rFonts w:hint="eastAsia" w:ascii="仿宋_GB2312" w:hAnsi="仿宋_GB2312" w:eastAsia="仿宋_GB2312" w:cs="仿宋_GB2312"/>
          <w:b/>
          <w:color w:val="auto"/>
          <w:sz w:val="32"/>
          <w:szCs w:val="32"/>
          <w:lang w:val="en-US" w:bidi="ar-SA"/>
        </w:rPr>
        <w:t>“南</w:t>
      </w:r>
      <w:r>
        <w:rPr>
          <w:rFonts w:hint="eastAsia" w:ascii="仿宋_GB2312" w:hAnsi="仿宋_GB2312" w:eastAsia="仿宋_GB2312" w:cs="仿宋_GB2312"/>
          <w:b/>
          <w:color w:val="auto"/>
          <w:sz w:val="32"/>
          <w:szCs w:val="32"/>
        </w:rPr>
        <w:t>粤家政</w:t>
      </w:r>
      <w:r>
        <w:rPr>
          <w:rFonts w:hint="eastAsia" w:ascii="仿宋_GB2312" w:hAnsi="仿宋_GB2312" w:eastAsia="仿宋_GB2312" w:cs="仿宋_GB2312"/>
          <w:b/>
          <w:color w:val="auto"/>
          <w:sz w:val="32"/>
          <w:szCs w:val="32"/>
          <w:lang w:val="en-US" w:bidi="ar-SA"/>
        </w:rPr>
        <w:t>”工</w:t>
      </w:r>
      <w:r>
        <w:rPr>
          <w:rFonts w:hint="eastAsia" w:ascii="仿宋_GB2312" w:hAnsi="仿宋_GB2312" w:eastAsia="仿宋_GB2312" w:cs="仿宋_GB2312"/>
          <w:b/>
          <w:color w:val="auto"/>
          <w:sz w:val="32"/>
          <w:szCs w:val="32"/>
        </w:rPr>
        <w:t>程提质扩容。</w:t>
      </w:r>
      <w:r>
        <w:rPr>
          <w:rFonts w:hint="eastAsia" w:ascii="仿宋_GB2312" w:hAnsi="仿宋_GB2312" w:eastAsia="仿宋_GB2312" w:cs="仿宋_GB2312"/>
          <w:color w:val="auto"/>
          <w:sz w:val="32"/>
          <w:szCs w:val="32"/>
        </w:rPr>
        <w:t>加强对家政服务业从业人员的培训工作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充分发挥政府职能，培育、完善家政服务市场，推进家政服务业的产业化。</w:t>
      </w:r>
      <w:r>
        <w:rPr>
          <w:rFonts w:hint="eastAsia" w:ascii="仿宋_GB2312" w:hAnsi="仿宋_GB2312" w:eastAsia="仿宋_GB2312" w:cs="仿宋_GB2312"/>
          <w:color w:val="auto"/>
          <w:sz w:val="32"/>
          <w:szCs w:val="32"/>
          <w:lang w:eastAsia="zh-CN"/>
        </w:rPr>
        <w:t>引导本地区家政企业加入</w:t>
      </w:r>
      <w:r>
        <w:rPr>
          <w:rFonts w:hint="eastAsia" w:ascii="仿宋_GB2312" w:hAnsi="仿宋_GB2312" w:eastAsia="仿宋_GB2312" w:cs="仿宋_GB2312"/>
          <w:color w:val="auto"/>
          <w:sz w:val="32"/>
          <w:szCs w:val="32"/>
        </w:rPr>
        <w:t>汕尾家政服务协会，规范家政服务企业和从业人员的管理制度和行为。利用“互联网+”技术，通过建立家政企业和从业人员诚信制度，推出家政从业人员“诚信服务卡”，并推广“持证上岗”，不断完善家政企业和家政服务员信用信息记录，提高家政企业和家政服务员的整体信用水平，推动家政服务业规范化、标准化、品牌化、智能化发展。</w:t>
      </w:r>
      <w:r>
        <w:rPr>
          <w:rFonts w:hint="eastAsia" w:ascii="仿宋_GB2312" w:eastAsia="仿宋_GB2312" w:hAnsiTheme="minorEastAsia" w:cstheme="minorBidi"/>
          <w:color w:val="auto"/>
          <w:kern w:val="2"/>
          <w:sz w:val="32"/>
          <w:szCs w:val="32"/>
          <w:lang w:val="en-US" w:eastAsia="zh-CN" w:bidi="ar-SA"/>
        </w:rPr>
        <w:t>通过“南粤家政”基层家政服务站，带动家政服务就业创业，建设家政示范社区。</w:t>
      </w:r>
      <w:r>
        <w:rPr>
          <w:rFonts w:hint="eastAsia" w:ascii="仿宋_GB2312" w:eastAsia="仿宋_GB2312" w:hAnsiTheme="minorEastAsia" w:cstheme="minorBidi"/>
          <w:color w:val="auto"/>
          <w:sz w:val="32"/>
          <w:szCs w:val="32"/>
          <w:lang w:val="en-US" w:eastAsia="zh-CN" w:bidi="ar-SA"/>
        </w:rPr>
        <w:t>到2025年，全区开展“南粤家政”培训1000人次以上，带动1000人以上实现就业创业。</w:t>
      </w:r>
    </w:p>
    <w:p>
      <w:pPr>
        <w:pStyle w:val="20"/>
        <w:keepLines w:val="0"/>
        <w:pageBreakBefore w:val="0"/>
        <w:kinsoku/>
        <w:wordWrap/>
        <w:overflowPunct/>
        <w:topLinePunct w:val="0"/>
        <w:autoSpaceDE/>
        <w:autoSpaceDN/>
        <w:bidi w:val="0"/>
        <w:snapToGrid w:val="0"/>
        <w:spacing w:before="0" w:beforeAutospacing="0" w:after="0" w:afterAutospacing="0" w:line="560" w:lineRule="exact"/>
        <w:ind w:firstLine="643" w:firstLineChars="200"/>
        <w:jc w:val="left"/>
        <w:textAlignment w:val="baseline"/>
        <w:rPr>
          <w:rFonts w:ascii="仿宋_GB2312" w:hAnsi="仿宋_GB2312" w:eastAsia="仿宋_GB2312" w:cs="仿宋_GB2312"/>
          <w:b w:val="0"/>
          <w:i w:val="0"/>
          <w:caps w:val="0"/>
          <w:color w:val="auto"/>
          <w:spacing w:val="0"/>
          <w:w w:val="100"/>
          <w:sz w:val="32"/>
          <w:szCs w:val="32"/>
          <w:lang w:eastAsia="zh-CN"/>
        </w:rPr>
      </w:pPr>
      <w:r>
        <w:rPr>
          <w:rFonts w:hint="eastAsia" w:ascii="仿宋_GB2312" w:hAnsi="仿宋_GB2312" w:eastAsia="仿宋_GB2312" w:cs="仿宋_GB2312"/>
          <w:b/>
          <w:color w:val="auto"/>
          <w:sz w:val="32"/>
          <w:szCs w:val="32"/>
          <w:lang w:val="en-US" w:eastAsia="zh-CN"/>
        </w:rPr>
        <w:t>实施“乡村工匠”工程。</w:t>
      </w:r>
      <w:r>
        <w:rPr>
          <w:rFonts w:hint="eastAsia" w:ascii="仿宋_GB2312" w:hAnsi="仿宋_GB2312" w:eastAsia="仿宋_GB2312" w:cs="仿宋_GB2312"/>
          <w:b w:val="0"/>
          <w:i w:val="0"/>
          <w:caps w:val="0"/>
          <w:color w:val="auto"/>
          <w:spacing w:val="0"/>
          <w:w w:val="100"/>
          <w:sz w:val="32"/>
          <w:szCs w:val="32"/>
          <w:lang w:val="en-US" w:eastAsia="zh-CN"/>
        </w:rPr>
        <w:t>加强“乡村工匠”实用技能人才职业教育和职业技能培训，建设乡村建筑工匠、特色农产品栽培、农产品食品加工与质量安全等乡村工匠专业。支持院校、企业与农村合作社等合作培养“乡村工匠”。建立健全的乡村工匠培养标准和技能评价体系，支持乡村工匠参与职称评定。开展乡村工匠职业技能竞赛，选树乡村工匠典型。对乡村工匠创业人员及其创办的经营主体，按规定申请享受就业创业扶持优惠政策。</w:t>
      </w:r>
    </w:p>
    <w:p>
      <w:pPr>
        <w:pStyle w:val="20"/>
        <w:keepLines w:val="0"/>
        <w:pageBreakBefore w:val="0"/>
        <w:kinsoku/>
        <w:wordWrap/>
        <w:overflowPunct/>
        <w:topLinePunct w:val="0"/>
        <w:autoSpaceDE/>
        <w:autoSpaceDN/>
        <w:bidi w:val="0"/>
        <w:adjustRightInd w:val="0"/>
        <w:snapToGrid w:val="0"/>
        <w:spacing w:line="560" w:lineRule="exact"/>
        <w:ind w:firstLine="643" w:firstLineChars="200"/>
        <w:rPr>
          <w:rFonts w:ascii="仿宋_GB2312" w:hAnsi="仿宋_GB2312" w:eastAsia="仿宋_GB2312" w:cs="仿宋_GB2312"/>
          <w:color w:val="auto"/>
          <w:sz w:val="32"/>
          <w:szCs w:val="32"/>
          <w:lang w:val="en-US" w:eastAsia="zh-CN"/>
        </w:rPr>
      </w:pPr>
      <w:r>
        <w:rPr>
          <w:rFonts w:hint="eastAsia" w:ascii="仿宋_GB2312" w:hAnsi="仿宋_GB2312" w:eastAsia="仿宋_GB2312" w:cs="仿宋_GB2312"/>
          <w:b/>
          <w:color w:val="auto"/>
          <w:sz w:val="32"/>
          <w:szCs w:val="32"/>
        </w:rPr>
        <w:t>扎实推进“农村电商”工程。</w:t>
      </w:r>
      <w:r>
        <w:rPr>
          <w:rFonts w:hint="eastAsia" w:ascii="仿宋_GB2312" w:hAnsi="仿宋_GB2312" w:eastAsia="仿宋_GB2312" w:cs="仿宋_GB2312"/>
          <w:color w:val="auto"/>
          <w:sz w:val="32"/>
          <w:szCs w:val="32"/>
        </w:rPr>
        <w:t>加强农村电商培训，加大农</w:t>
      </w:r>
      <w:r>
        <w:rPr>
          <w:rFonts w:hint="eastAsia" w:ascii="仿宋_GB2312" w:hAnsi="仿宋_GB2312" w:eastAsia="仿宋_GB2312" w:cs="仿宋_GB2312"/>
          <w:color w:val="auto"/>
          <w:sz w:val="32"/>
          <w:szCs w:val="32"/>
          <w:lang w:val="en-US" w:eastAsia="zh-CN"/>
        </w:rPr>
        <w:t>村技能人才培养力度，推动我区职业学校开设电子商务专业，深化校企合作，建立适应农村电商需求的人才培训体系。强化农村电商政策扶持，优化农村电商公共创业就业服务，加速建设农村电子商务综合服务平台、配送服务中心和农村服务点，为农村电商创业就业提供技术和信息服务，运用5G及短视频赋能农村电商发展。</w:t>
      </w:r>
    </w:p>
    <w:p>
      <w:pPr>
        <w:pStyle w:val="4"/>
        <w:keepNext w:val="0"/>
        <w:keepLines w:val="0"/>
        <w:pageBreakBefore w:val="0"/>
        <w:kinsoku/>
        <w:wordWrap/>
        <w:overflowPunct/>
        <w:topLinePunct w:val="0"/>
        <w:autoSpaceDE/>
        <w:autoSpaceDN/>
        <w:bidi w:val="0"/>
        <w:adjustRightInd w:val="0"/>
        <w:snapToGrid w:val="0"/>
        <w:spacing w:before="120" w:beforeLines="50" w:after="120" w:afterLines="50" w:line="560" w:lineRule="exact"/>
        <w:ind w:left="200"/>
        <w:jc w:val="center"/>
        <w:rPr>
          <w:rFonts w:ascii="Cambria" w:hAnsi="Cambria" w:eastAsia="楷体_GB2312"/>
          <w:color w:val="auto"/>
          <w:sz w:val="34"/>
        </w:rPr>
      </w:pPr>
      <w:bookmarkStart w:id="57" w:name="_Toc10472"/>
      <w:bookmarkStart w:id="58" w:name="_Toc364"/>
      <w:r>
        <w:rPr>
          <w:rFonts w:hint="eastAsia" w:ascii="Cambria" w:hAnsi="Cambria" w:eastAsia="楷体_GB2312"/>
          <w:color w:val="auto"/>
          <w:sz w:val="34"/>
        </w:rPr>
        <w:t>第四节  完善人才公共服务体系</w:t>
      </w:r>
      <w:bookmarkEnd w:id="57"/>
      <w:bookmarkEnd w:id="58"/>
    </w:p>
    <w:p>
      <w:pPr>
        <w:keepLines w:val="0"/>
        <w:pageBreakBefore w:val="0"/>
        <w:kinsoku/>
        <w:wordWrap/>
        <w:overflowPunct/>
        <w:topLinePunct w:val="0"/>
        <w:autoSpaceDE/>
        <w:autoSpaceDN/>
        <w:bidi w:val="0"/>
        <w:adjustRightInd w:val="0"/>
        <w:snapToGrid w:val="0"/>
        <w:spacing w:line="560" w:lineRule="exact"/>
        <w:ind w:firstLine="643" w:firstLineChars="200"/>
        <w:rPr>
          <w:rFonts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lang w:bidi="zh-TW"/>
        </w:rPr>
        <w:t>创新人才服务管理政策。</w:t>
      </w:r>
      <w:r>
        <w:rPr>
          <w:rFonts w:hint="eastAsia" w:ascii="仿宋_GB2312" w:hAnsi="仿宋_GB2312" w:eastAsia="仿宋_GB2312" w:cs="仿宋_GB2312"/>
          <w:color w:val="auto"/>
          <w:sz w:val="32"/>
          <w:szCs w:val="32"/>
        </w:rPr>
        <w:t>推进出台急需紧缺高层次人才配套政策，探索建立我区高层次人才服务办法、柔性引进高层次人才办法和本土人才培育办法。发挥市场评价主体的作用，加大创新创业人才引进力度。加强人才供需状况监测，定期发布汕尾市城区急需紧缺高层次导向目录。探索企事业单位工作人员双向交流机制，鼓励</w:t>
      </w:r>
      <w:r>
        <w:rPr>
          <w:rFonts w:hint="eastAsia" w:ascii="仿宋_GB2312" w:hAnsi="仿宋_GB2312" w:eastAsia="仿宋_GB2312" w:cs="仿宋_GB2312"/>
          <w:b w:val="0"/>
          <w:bCs w:val="0"/>
          <w:color w:val="auto"/>
          <w:sz w:val="32"/>
          <w:szCs w:val="32"/>
        </w:rPr>
        <w:t>我区科研院所等事业单位科研</w:t>
      </w:r>
      <w:r>
        <w:rPr>
          <w:rFonts w:hint="eastAsia" w:ascii="仿宋_GB2312" w:hAnsi="仿宋_GB2312" w:eastAsia="仿宋_GB2312" w:cs="仿宋_GB2312"/>
          <w:color w:val="auto"/>
          <w:sz w:val="32"/>
          <w:szCs w:val="32"/>
        </w:rPr>
        <w:t>人员离岗创业。探索实行特设岗位、购买服务等方式，拓宽体制外人员流向事业单位参与科技创新的途径。推行事业单位人事制度综合配套改革，实行岗位管理和单位自主用人。发挥政府、市场、专业组织、用人单位等多元评价主体作用，建立多维度人才评价标准，探索建立高层次人才积分制认定办法，对人才进行综合量化评价。</w:t>
      </w:r>
    </w:p>
    <w:p>
      <w:pPr>
        <w:keepLines w:val="0"/>
        <w:pageBreakBefore w:val="0"/>
        <w:kinsoku/>
        <w:wordWrap/>
        <w:overflowPunct/>
        <w:topLinePunct w:val="0"/>
        <w:autoSpaceDE/>
        <w:autoSpaceDN/>
        <w:bidi w:val="0"/>
        <w:adjustRightInd w:val="0"/>
        <w:snapToGrid w:val="0"/>
        <w:spacing w:line="560" w:lineRule="exact"/>
        <w:ind w:firstLine="643" w:firstLineChars="200"/>
        <w:rPr>
          <w:rFonts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lang w:bidi="zh-TW"/>
        </w:rPr>
        <w:t>优化提升人才服务水平。</w:t>
      </w:r>
      <w:bookmarkStart w:id="59" w:name="_Toc338"/>
      <w:bookmarkStart w:id="60" w:name="_Toc16817"/>
      <w:r>
        <w:rPr>
          <w:rFonts w:hint="eastAsia" w:ascii="仿宋_GB2312" w:hAnsi="仿宋_GB2312" w:eastAsia="仿宋_GB2312" w:cs="仿宋_GB2312"/>
          <w:color w:val="auto"/>
          <w:sz w:val="32"/>
          <w:szCs w:val="32"/>
        </w:rPr>
        <w:t>推进高层次人才服务专区建设</w:t>
      </w:r>
      <w:r>
        <w:rPr>
          <w:rFonts w:hint="eastAsia" w:ascii="仿宋_GB2312" w:hAnsi="仿宋_GB2312" w:eastAsia="仿宋_GB2312" w:cs="仿宋_GB2312"/>
          <w:color w:val="0000FF"/>
          <w:sz w:val="32"/>
          <w:szCs w:val="32"/>
        </w:rPr>
        <w:t>，</w:t>
      </w:r>
      <w:r>
        <w:rPr>
          <w:rFonts w:hint="eastAsia" w:ascii="仿宋_GB2312" w:hAnsi="仿宋_GB2312" w:eastAsia="仿宋_GB2312" w:cs="仿宋_GB2312"/>
          <w:color w:val="auto"/>
          <w:sz w:val="32"/>
          <w:szCs w:val="32"/>
        </w:rPr>
        <w:t>夯实人才创新创业平台载体，健全高层次人才“一站式”服务平台，</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做好高层次人才服务对接，促进高层次人才成果转化落地。探索引进人力资源服务机构和风险投资机构</w:t>
      </w: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rPr>
        <w:t>参与高层次人才的市场化评价。在市的统一部署下，整合优化赴市外招聘人才工作，建立统一的招聘平台。完善高层次人才安居办法，增加新引进人才租房补贴额度。</w:t>
      </w:r>
    </w:p>
    <w:p>
      <w:pPr>
        <w:keepLines w:val="0"/>
        <w:pageBreakBefore w:val="0"/>
        <w:kinsoku/>
        <w:wordWrap/>
        <w:overflowPunct/>
        <w:topLinePunct w:val="0"/>
        <w:autoSpaceDE/>
        <w:autoSpaceDN/>
        <w:bidi w:val="0"/>
        <w:adjustRightInd w:val="0"/>
        <w:snapToGrid w:val="0"/>
        <w:spacing w:line="560" w:lineRule="exact"/>
        <w:ind w:firstLine="643" w:firstLineChars="200"/>
        <w:rPr>
          <w:rFonts w:hint="eastAsia" w:ascii="仿宋_GB2312" w:hAnsi="仿宋_GB2312" w:eastAsia="仿宋_GB2312" w:cs="仿宋_GB2312"/>
          <w:color w:val="auto"/>
          <w:sz w:val="32"/>
          <w:szCs w:val="32"/>
          <w:lang w:bidi="zh-TW"/>
        </w:rPr>
      </w:pPr>
      <w:r>
        <w:rPr>
          <w:rFonts w:hint="eastAsia" w:ascii="仿宋_GB2312" w:hAnsi="仿宋_GB2312" w:eastAsia="仿宋_GB2312" w:cs="仿宋_GB2312"/>
          <w:b/>
          <w:color w:val="auto"/>
          <w:sz w:val="32"/>
          <w:szCs w:val="32"/>
          <w:lang w:bidi="zh-TW"/>
        </w:rPr>
        <w:t>不断规范表彰奖励</w:t>
      </w:r>
      <w:bookmarkEnd w:id="59"/>
      <w:bookmarkEnd w:id="60"/>
      <w:r>
        <w:rPr>
          <w:rFonts w:hint="eastAsia" w:ascii="仿宋_GB2312" w:hAnsi="仿宋_GB2312" w:eastAsia="仿宋_GB2312" w:cs="仿宋_GB2312"/>
          <w:b/>
          <w:color w:val="auto"/>
          <w:sz w:val="32"/>
          <w:szCs w:val="32"/>
          <w:lang w:bidi="zh-TW"/>
        </w:rPr>
        <w:t>。</w:t>
      </w:r>
      <w:r>
        <w:rPr>
          <w:rFonts w:hint="eastAsia" w:ascii="仿宋_GB2312" w:hAnsi="仿宋_GB2312" w:eastAsia="仿宋_GB2312" w:cs="仿宋_GB2312"/>
          <w:color w:val="auto"/>
          <w:sz w:val="32"/>
          <w:szCs w:val="32"/>
          <w:lang w:bidi="zh-TW"/>
        </w:rPr>
        <w:t>全面贯彻落实党中央、国务院</w:t>
      </w:r>
      <w:r>
        <w:rPr>
          <w:rFonts w:hint="eastAsia" w:ascii="仿宋_GB2312" w:hAnsi="仿宋_GB2312" w:eastAsia="仿宋_GB2312" w:cs="仿宋_GB2312"/>
          <w:color w:val="auto"/>
          <w:sz w:val="32"/>
          <w:szCs w:val="32"/>
          <w:lang w:eastAsia="zh-CN" w:bidi="zh-TW"/>
        </w:rPr>
        <w:t>、</w:t>
      </w:r>
      <w:r>
        <w:rPr>
          <w:rFonts w:hint="eastAsia" w:ascii="仿宋_GB2312" w:hAnsi="仿宋_GB2312" w:eastAsia="仿宋_GB2312" w:cs="仿宋_GB2312"/>
          <w:color w:val="auto"/>
          <w:sz w:val="32"/>
          <w:szCs w:val="32"/>
          <w:lang w:bidi="zh-TW"/>
        </w:rPr>
        <w:t>省委、省政府</w:t>
      </w:r>
      <w:r>
        <w:rPr>
          <w:rFonts w:hint="eastAsia" w:ascii="仿宋_GB2312" w:hAnsi="仿宋_GB2312" w:eastAsia="仿宋_GB2312" w:cs="仿宋_GB2312"/>
          <w:color w:val="auto"/>
          <w:sz w:val="32"/>
          <w:szCs w:val="32"/>
          <w:lang w:eastAsia="zh-CN" w:bidi="zh-TW"/>
        </w:rPr>
        <w:t>和市委、市政府</w:t>
      </w:r>
      <w:r>
        <w:rPr>
          <w:rFonts w:hint="eastAsia" w:ascii="仿宋_GB2312" w:hAnsi="仿宋_GB2312" w:eastAsia="仿宋_GB2312" w:cs="仿宋_GB2312"/>
          <w:color w:val="auto"/>
          <w:sz w:val="32"/>
          <w:szCs w:val="32"/>
          <w:lang w:bidi="zh-TW"/>
        </w:rPr>
        <w:t>各项功勋荣誉和表彰奖励工作部署，加强对全</w:t>
      </w:r>
      <w:r>
        <w:rPr>
          <w:rFonts w:hint="eastAsia" w:ascii="仿宋_GB2312" w:hAnsi="仿宋_GB2312" w:eastAsia="仿宋_GB2312" w:cs="仿宋_GB2312"/>
          <w:color w:val="auto"/>
          <w:sz w:val="32"/>
          <w:szCs w:val="32"/>
          <w:lang w:eastAsia="zh-CN" w:bidi="zh-TW"/>
        </w:rPr>
        <w:t>区</w:t>
      </w:r>
      <w:r>
        <w:rPr>
          <w:rFonts w:hint="eastAsia" w:ascii="仿宋_GB2312" w:hAnsi="仿宋_GB2312" w:eastAsia="仿宋_GB2312" w:cs="仿宋_GB2312"/>
          <w:color w:val="auto"/>
          <w:sz w:val="32"/>
          <w:szCs w:val="32"/>
          <w:lang w:bidi="zh-TW"/>
        </w:rPr>
        <w:t>各单位的业务指导，严格按照《国家功勋荣誉表彰条例》《评比达标表彰活动管理办法》等有关规定，履行“一推两审三公示”等表彰评选工作程序，确保表彰工作有序合规开展。按照</w:t>
      </w:r>
      <w:r>
        <w:rPr>
          <w:rFonts w:hint="eastAsia" w:ascii="仿宋_GB2312" w:hAnsi="仿宋_GB2312" w:eastAsia="仿宋_GB2312" w:cs="仿宋_GB2312"/>
          <w:color w:val="auto"/>
          <w:sz w:val="32"/>
          <w:szCs w:val="32"/>
          <w:lang w:eastAsia="zh-CN" w:bidi="zh-TW"/>
        </w:rPr>
        <w:t>市</w:t>
      </w:r>
      <w:r>
        <w:rPr>
          <w:rFonts w:hint="eastAsia" w:ascii="仿宋_GB2312" w:hAnsi="仿宋_GB2312" w:eastAsia="仿宋_GB2312" w:cs="仿宋_GB2312"/>
          <w:color w:val="auto"/>
          <w:sz w:val="32"/>
          <w:szCs w:val="32"/>
          <w:lang w:bidi="zh-TW"/>
        </w:rPr>
        <w:t>表彰办的工作安排，完善新设立评比达标表彰项目的报批机制</w:t>
      </w:r>
      <w:r>
        <w:rPr>
          <w:rFonts w:hint="eastAsia" w:ascii="仿宋_GB2312" w:hAnsi="仿宋_GB2312" w:eastAsia="仿宋_GB2312" w:cs="仿宋_GB2312"/>
          <w:color w:val="auto"/>
          <w:sz w:val="32"/>
          <w:szCs w:val="32"/>
          <w:lang w:eastAsia="zh-CN" w:bidi="zh-TW"/>
        </w:rPr>
        <w:t>，</w:t>
      </w:r>
      <w:r>
        <w:rPr>
          <w:rFonts w:hint="eastAsia" w:ascii="仿宋_GB2312" w:hAnsi="仿宋_GB2312" w:eastAsia="仿宋_GB2312" w:cs="仿宋_GB2312"/>
          <w:color w:val="auto"/>
          <w:sz w:val="32"/>
          <w:szCs w:val="32"/>
          <w:lang w:bidi="zh-TW"/>
        </w:rPr>
        <w:t>加强对评比达标表彰活动的监督管理。指导各单位做好每年年度表彰项目的申报。配合宣传部门加大对表彰奖励获得者事迹的宣传力度，营造尊崇模范、争做先锋的良好氛围。</w:t>
      </w:r>
    </w:p>
    <w:p>
      <w:pPr>
        <w:rPr>
          <w:rFonts w:hint="eastAsia" w:ascii="仿宋_GB2312" w:hAnsi="仿宋_GB2312" w:eastAsia="仿宋_GB2312" w:cs="仿宋_GB2312"/>
          <w:color w:val="auto"/>
          <w:sz w:val="32"/>
          <w:szCs w:val="32"/>
          <w:lang w:bidi="zh-TW"/>
        </w:rPr>
      </w:pPr>
    </w:p>
    <w:p>
      <w:pPr>
        <w:pStyle w:val="2"/>
        <w:rPr>
          <w:rFonts w:hint="eastAsia" w:ascii="仿宋_GB2312" w:hAnsi="仿宋_GB2312" w:eastAsia="仿宋_GB2312" w:cs="仿宋_GB2312"/>
          <w:color w:val="auto"/>
          <w:sz w:val="32"/>
          <w:szCs w:val="32"/>
          <w:lang w:bidi="zh-TW"/>
        </w:rPr>
      </w:pPr>
    </w:p>
    <w:p>
      <w:pPr>
        <w:rPr>
          <w:rFonts w:hint="eastAsia" w:ascii="仿宋_GB2312" w:hAnsi="仿宋_GB2312" w:eastAsia="仿宋_GB2312" w:cs="仿宋_GB2312"/>
          <w:color w:val="auto"/>
          <w:sz w:val="32"/>
          <w:szCs w:val="32"/>
          <w:lang w:bidi="zh-TW"/>
        </w:rPr>
      </w:pPr>
    </w:p>
    <w:p>
      <w:pPr>
        <w:pStyle w:val="2"/>
        <w:rPr>
          <w:rFonts w:hint="eastAsia" w:ascii="仿宋_GB2312" w:hAnsi="仿宋_GB2312" w:eastAsia="仿宋_GB2312" w:cs="仿宋_GB2312"/>
          <w:color w:val="auto"/>
          <w:sz w:val="32"/>
          <w:szCs w:val="32"/>
          <w:lang w:bidi="zh-TW"/>
        </w:rPr>
      </w:pPr>
    </w:p>
    <w:p>
      <w:pPr>
        <w:rPr>
          <w:rFonts w:hint="eastAsia" w:ascii="仿宋_GB2312" w:hAnsi="仿宋_GB2312" w:eastAsia="仿宋_GB2312" w:cs="仿宋_GB2312"/>
          <w:color w:val="auto"/>
          <w:sz w:val="32"/>
          <w:szCs w:val="32"/>
          <w:lang w:bidi="zh-TW"/>
        </w:rPr>
      </w:pPr>
    </w:p>
    <w:p>
      <w:pPr>
        <w:pStyle w:val="2"/>
        <w:rPr>
          <w:rFonts w:hint="eastAsia" w:ascii="仿宋_GB2312" w:hAnsi="仿宋_GB2312" w:eastAsia="仿宋_GB2312" w:cs="仿宋_GB2312"/>
          <w:color w:val="auto"/>
          <w:sz w:val="32"/>
          <w:szCs w:val="32"/>
          <w:lang w:bidi="zh-TW"/>
        </w:rPr>
      </w:pPr>
    </w:p>
    <w:p>
      <w:pPr>
        <w:rPr>
          <w:rFonts w:hint="eastAsia" w:ascii="仿宋_GB2312" w:hAnsi="仿宋_GB2312" w:eastAsia="仿宋_GB2312" w:cs="仿宋_GB2312"/>
          <w:color w:val="auto"/>
          <w:sz w:val="32"/>
          <w:szCs w:val="32"/>
          <w:lang w:bidi="zh-TW"/>
        </w:rPr>
      </w:pPr>
    </w:p>
    <w:p>
      <w:pPr>
        <w:pStyle w:val="2"/>
        <w:rPr>
          <w:rFonts w:hint="eastAsia" w:ascii="仿宋_GB2312" w:hAnsi="仿宋_GB2312" w:eastAsia="仿宋_GB2312" w:cs="仿宋_GB2312"/>
          <w:color w:val="auto"/>
          <w:sz w:val="32"/>
          <w:szCs w:val="32"/>
          <w:lang w:bidi="zh-TW"/>
        </w:rPr>
      </w:pPr>
    </w:p>
    <w:p>
      <w:pPr>
        <w:rPr>
          <w:rFonts w:hint="eastAsia" w:ascii="仿宋_GB2312" w:hAnsi="仿宋_GB2312" w:eastAsia="仿宋_GB2312" w:cs="仿宋_GB2312"/>
          <w:color w:val="auto"/>
          <w:sz w:val="32"/>
          <w:szCs w:val="32"/>
          <w:lang w:bidi="zh-TW"/>
        </w:rPr>
      </w:pPr>
    </w:p>
    <w:p>
      <w:pPr>
        <w:pStyle w:val="2"/>
        <w:rPr>
          <w:rFonts w:hint="eastAsia" w:ascii="仿宋_GB2312" w:hAnsi="仿宋_GB2312" w:eastAsia="仿宋_GB2312" w:cs="仿宋_GB2312"/>
          <w:color w:val="auto"/>
          <w:sz w:val="32"/>
          <w:szCs w:val="32"/>
          <w:lang w:bidi="zh-TW"/>
        </w:rPr>
      </w:pPr>
    </w:p>
    <w:p>
      <w:pPr>
        <w:rPr>
          <w:rFonts w:hint="eastAsia" w:ascii="仿宋_GB2312" w:hAnsi="仿宋_GB2312" w:eastAsia="仿宋_GB2312" w:cs="仿宋_GB2312"/>
          <w:color w:val="auto"/>
          <w:sz w:val="32"/>
          <w:szCs w:val="32"/>
          <w:lang w:bidi="zh-TW"/>
        </w:rPr>
      </w:pPr>
    </w:p>
    <w:p>
      <w:pPr>
        <w:pStyle w:val="2"/>
        <w:rPr>
          <w:rFonts w:hint="eastAsia" w:ascii="仿宋_GB2312" w:hAnsi="仿宋_GB2312" w:eastAsia="仿宋_GB2312" w:cs="仿宋_GB2312"/>
          <w:color w:val="auto"/>
          <w:sz w:val="32"/>
          <w:szCs w:val="32"/>
          <w:lang w:bidi="zh-TW"/>
        </w:rPr>
      </w:pPr>
    </w:p>
    <w:p>
      <w:pPr>
        <w:rPr>
          <w:rFonts w:hint="eastAsia" w:ascii="仿宋_GB2312" w:hAnsi="仿宋_GB2312" w:eastAsia="仿宋_GB2312" w:cs="仿宋_GB2312"/>
          <w:color w:val="auto"/>
          <w:sz w:val="32"/>
          <w:szCs w:val="32"/>
          <w:lang w:bidi="zh-TW"/>
        </w:rPr>
      </w:pPr>
    </w:p>
    <w:p>
      <w:pPr>
        <w:pStyle w:val="2"/>
        <w:rPr>
          <w:rFonts w:hint="eastAsia" w:ascii="仿宋_GB2312" w:hAnsi="仿宋_GB2312" w:eastAsia="仿宋_GB2312" w:cs="仿宋_GB2312"/>
          <w:color w:val="auto"/>
          <w:sz w:val="32"/>
          <w:szCs w:val="32"/>
          <w:lang w:bidi="zh-TW"/>
        </w:rPr>
      </w:pPr>
    </w:p>
    <w:p>
      <w:pPr>
        <w:rPr>
          <w:rFonts w:hint="eastAsia" w:ascii="仿宋_GB2312" w:hAnsi="仿宋_GB2312" w:eastAsia="仿宋_GB2312" w:cs="仿宋_GB2312"/>
          <w:color w:val="auto"/>
          <w:sz w:val="32"/>
          <w:szCs w:val="32"/>
          <w:lang w:bidi="zh-TW"/>
        </w:rPr>
      </w:pPr>
    </w:p>
    <w:p>
      <w:pPr>
        <w:pStyle w:val="2"/>
        <w:rPr>
          <w:rFonts w:hint="eastAsia" w:ascii="仿宋_GB2312" w:hAnsi="仿宋_GB2312" w:eastAsia="仿宋_GB2312" w:cs="仿宋_GB2312"/>
          <w:color w:val="auto"/>
          <w:sz w:val="32"/>
          <w:szCs w:val="32"/>
          <w:lang w:bidi="zh-TW"/>
        </w:rPr>
      </w:pPr>
    </w:p>
    <w:p>
      <w:pPr>
        <w:rPr>
          <w:rFonts w:hint="eastAsia"/>
        </w:rPr>
      </w:pPr>
    </w:p>
    <w:p>
      <w:pPr>
        <w:pStyle w:val="2"/>
        <w:rPr>
          <w:rFonts w:hint="eastAsia"/>
        </w:rPr>
      </w:pPr>
    </w:p>
    <w:p>
      <w:pPr>
        <w:pStyle w:val="2"/>
        <w:rPr>
          <w:rFonts w:hint="eastAsia"/>
        </w:rPr>
      </w:pPr>
    </w:p>
    <w:bookmarkEnd w:id="50"/>
    <w:p>
      <w:pPr>
        <w:pStyle w:val="3"/>
        <w:keepLines w:val="0"/>
        <w:pageBreakBefore w:val="0"/>
        <w:numPr>
          <w:ilvl w:val="0"/>
          <w:numId w:val="1"/>
        </w:numPr>
        <w:kinsoku/>
        <w:wordWrap/>
        <w:overflowPunct/>
        <w:topLinePunct w:val="0"/>
        <w:autoSpaceDE/>
        <w:autoSpaceDN/>
        <w:bidi w:val="0"/>
        <w:adjustRightInd w:val="0"/>
        <w:snapToGrid w:val="0"/>
        <w:spacing w:before="120" w:beforeLines="50" w:after="120" w:afterLines="50" w:line="560" w:lineRule="exact"/>
        <w:jc w:val="center"/>
        <w:rPr>
          <w:rFonts w:hint="eastAsia" w:ascii="Calibri" w:hAnsi="Calibri" w:eastAsia="黑体"/>
          <w:sz w:val="44"/>
          <w:szCs w:val="44"/>
          <w:lang w:val="en-US" w:eastAsia="zh-CN"/>
        </w:rPr>
      </w:pPr>
      <w:bookmarkStart w:id="61" w:name="_Toc20542"/>
      <w:bookmarkStart w:id="62" w:name="_Toc5528"/>
      <w:r>
        <w:rPr>
          <w:rFonts w:hint="eastAsia" w:ascii="Calibri" w:hAnsi="Calibri" w:eastAsia="黑体"/>
          <w:sz w:val="44"/>
          <w:szCs w:val="44"/>
          <w:lang w:val="en-US" w:eastAsia="zh-CN"/>
        </w:rPr>
        <w:t xml:space="preserve"> </w:t>
      </w:r>
      <w:bookmarkStart w:id="63" w:name="_Toc7225"/>
      <w:r>
        <w:rPr>
          <w:rFonts w:hint="eastAsia" w:ascii="Calibri" w:hAnsi="Calibri" w:eastAsia="黑体"/>
          <w:sz w:val="44"/>
          <w:szCs w:val="44"/>
          <w:lang w:val="en-US" w:eastAsia="zh-CN"/>
        </w:rPr>
        <w:t>提高</w:t>
      </w:r>
      <w:r>
        <w:rPr>
          <w:rFonts w:ascii="Calibri" w:hAnsi="Calibri" w:eastAsia="黑体"/>
          <w:sz w:val="44"/>
          <w:szCs w:val="44"/>
          <w:lang w:val="en-US" w:eastAsia="zh-CN"/>
        </w:rPr>
        <w:t>事业单</w:t>
      </w:r>
      <w:bookmarkEnd w:id="61"/>
      <w:r>
        <w:rPr>
          <w:rFonts w:ascii="Calibri" w:hAnsi="Calibri" w:eastAsia="黑体"/>
          <w:sz w:val="44"/>
          <w:szCs w:val="44"/>
          <w:lang w:val="en-US" w:eastAsia="zh-CN"/>
        </w:rPr>
        <w:t>位</w:t>
      </w:r>
      <w:r>
        <w:rPr>
          <w:rFonts w:hint="eastAsia" w:ascii="Calibri" w:hAnsi="Calibri" w:eastAsia="黑体"/>
          <w:sz w:val="44"/>
          <w:szCs w:val="44"/>
          <w:lang w:val="en-US" w:eastAsia="zh-CN"/>
        </w:rPr>
        <w:t>人事管理科学化水平</w:t>
      </w:r>
      <w:bookmarkEnd w:id="62"/>
      <w:bookmarkEnd w:id="63"/>
      <w:bookmarkStart w:id="64" w:name="_Toc16094"/>
    </w:p>
    <w:p>
      <w:pPr>
        <w:rPr>
          <w:rFonts w:hint="eastAsia"/>
          <w:lang w:val="en-US" w:eastAsia="zh-CN"/>
        </w:rPr>
      </w:pPr>
    </w:p>
    <w:p>
      <w:pPr>
        <w:numPr>
          <w:ilvl w:val="0"/>
          <w:numId w:val="0"/>
        </w:numPr>
      </w:pPr>
    </w:p>
    <w:p>
      <w:pPr>
        <w:keepLines w:val="0"/>
        <w:pageBreakBefore w:val="0"/>
        <w:kinsoku/>
        <w:wordWrap/>
        <w:overflowPunct/>
        <w:topLinePunct w:val="0"/>
        <w:autoSpaceDE/>
        <w:autoSpaceDN/>
        <w:bidi w:val="0"/>
        <w:adjustRightInd w:val="0"/>
        <w:snapToGrid w:val="0"/>
        <w:spacing w:line="560" w:lineRule="exact"/>
        <w:ind w:firstLine="640" w:firstLineChars="200"/>
        <w:rPr>
          <w:rFonts w:ascii="仿宋_GB2312" w:hAnsi="仿宋_GB2312" w:eastAsia="仿宋_GB2312" w:cs="仿宋_GB2312"/>
          <w:sz w:val="32"/>
          <w:szCs w:val="32"/>
          <w:lang w:bidi="zh-TW"/>
        </w:rPr>
      </w:pPr>
      <w:r>
        <w:rPr>
          <w:rFonts w:hint="eastAsia" w:ascii="仿宋_GB2312" w:hAnsi="仿宋_GB2312" w:eastAsia="仿宋_GB2312" w:cs="仿宋_GB2312"/>
          <w:sz w:val="32"/>
          <w:szCs w:val="32"/>
          <w:lang w:bidi="zh-TW"/>
        </w:rPr>
        <w:t>以加快建立政事分开、事企分开、管办分离的事业单位人事管理体制机制为目标，坚持放管结合并重，完善制度规范，健全约束机制，强化正向激励。提高治理效能，建立充满生机与活力的新时代事业单位选人用人机制，提高事业单位人事管理的法制化、科学化水平。</w:t>
      </w:r>
    </w:p>
    <w:p>
      <w:pPr>
        <w:pStyle w:val="4"/>
        <w:keepNext w:val="0"/>
        <w:keepLines w:val="0"/>
        <w:pageBreakBefore w:val="0"/>
        <w:kinsoku/>
        <w:wordWrap/>
        <w:overflowPunct/>
        <w:topLinePunct w:val="0"/>
        <w:autoSpaceDE/>
        <w:autoSpaceDN/>
        <w:bidi w:val="0"/>
        <w:adjustRightInd w:val="0"/>
        <w:snapToGrid w:val="0"/>
        <w:spacing w:before="120" w:beforeLines="50" w:after="120" w:afterLines="50" w:line="560" w:lineRule="exact"/>
        <w:ind w:left="200"/>
        <w:jc w:val="center"/>
        <w:rPr>
          <w:rFonts w:ascii="Cambria" w:hAnsi="Cambria" w:eastAsia="楷体_GB2312"/>
          <w:color w:val="000000"/>
          <w:sz w:val="34"/>
        </w:rPr>
      </w:pPr>
      <w:bookmarkStart w:id="65" w:name="_Toc27872"/>
      <w:bookmarkStart w:id="66" w:name="_Toc15333"/>
      <w:r>
        <w:rPr>
          <w:rFonts w:ascii="Cambria" w:hAnsi="Cambria" w:eastAsia="楷体_GB2312"/>
          <w:color w:val="000000"/>
          <w:sz w:val="34"/>
        </w:rPr>
        <w:t>第一节</w:t>
      </w:r>
      <w:r>
        <w:rPr>
          <w:rFonts w:hint="eastAsia" w:ascii="Cambria" w:hAnsi="Cambria" w:eastAsia="楷体_GB2312"/>
          <w:color w:val="000000"/>
          <w:sz w:val="34"/>
        </w:rPr>
        <w:t xml:space="preserve">  深化事业单位人事制度改革</w:t>
      </w:r>
      <w:bookmarkEnd w:id="65"/>
      <w:bookmarkEnd w:id="66"/>
    </w:p>
    <w:p>
      <w:pPr>
        <w:keepLines w:val="0"/>
        <w:pageBreakBefore w:val="0"/>
        <w:kinsoku/>
        <w:wordWrap/>
        <w:overflowPunct/>
        <w:topLinePunct w:val="0"/>
        <w:autoSpaceDE/>
        <w:autoSpaceDN/>
        <w:bidi w:val="0"/>
        <w:adjustRightInd w:val="0"/>
        <w:snapToGrid w:val="0"/>
        <w:spacing w:line="560" w:lineRule="exact"/>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sz w:val="32"/>
          <w:szCs w:val="32"/>
        </w:rPr>
        <w:t>健全岗位设置管理制度</w:t>
      </w:r>
      <w:r>
        <w:rPr>
          <w:rFonts w:hint="eastAsia" w:ascii="仿宋_GB2312" w:hAnsi="仿宋_GB2312" w:eastAsia="仿宋_GB2312" w:cs="仿宋_GB2312"/>
          <w:b/>
          <w:color w:val="auto"/>
          <w:sz w:val="32"/>
          <w:szCs w:val="32"/>
        </w:rPr>
        <w:t>。</w:t>
      </w:r>
      <w:r>
        <w:rPr>
          <w:rFonts w:hint="eastAsia" w:ascii="仿宋_GB2312" w:hAnsi="仿宋_GB2312" w:eastAsia="仿宋_GB2312" w:cs="仿宋_GB2312"/>
          <w:color w:val="auto"/>
          <w:sz w:val="32"/>
          <w:szCs w:val="32"/>
        </w:rPr>
        <w:t>加快修订文化、教育、卫生等各行业事业单位岗位设置管理实施意见，建立分类、分层、分规模的事业单位专业技术岗位结构比例范围及动态调整机制。逐步取消学校、科研院所、医院等单位行政级别，进一步规范设置学校、科研院所、医院等事业单位岗位设置。</w:t>
      </w:r>
    </w:p>
    <w:p>
      <w:pPr>
        <w:keepLines w:val="0"/>
        <w:pageBreakBefore w:val="0"/>
        <w:kinsoku/>
        <w:wordWrap/>
        <w:overflowPunct/>
        <w:topLinePunct w:val="0"/>
        <w:autoSpaceDE/>
        <w:autoSpaceDN/>
        <w:bidi w:val="0"/>
        <w:adjustRightInd w:val="0"/>
        <w:snapToGrid w:val="0"/>
        <w:spacing w:line="560" w:lineRule="exact"/>
        <w:ind w:firstLine="643" w:firstLineChars="200"/>
        <w:rPr>
          <w:rFonts w:ascii="仿宋_GB2312" w:hAnsi="仿宋_GB2312" w:eastAsia="仿宋_GB2312" w:cs="仿宋_GB2312"/>
          <w:color w:val="auto"/>
          <w:sz w:val="32"/>
          <w:szCs w:val="32"/>
        </w:rPr>
      </w:pPr>
      <w:r>
        <w:rPr>
          <w:rFonts w:hint="eastAsia" w:ascii="仿宋_GB2312" w:hAnsi="仿宋_GB2312" w:eastAsia="仿宋_GB2312" w:cs="仿宋_GB2312"/>
          <w:b/>
          <w:sz w:val="32"/>
          <w:szCs w:val="32"/>
          <w:lang w:bidi="zh-TW"/>
        </w:rPr>
        <w:t>完善事业单位公开招聘和聘用制度。</w:t>
      </w:r>
      <w:r>
        <w:rPr>
          <w:rFonts w:hint="eastAsia" w:ascii="仿宋_GB2312" w:hAnsi="仿宋_GB2312" w:eastAsia="仿宋_GB2312" w:cs="仿宋_GB2312"/>
          <w:color w:val="auto"/>
          <w:sz w:val="32"/>
          <w:szCs w:val="32"/>
        </w:rPr>
        <w:t>积极配合省修订事业单位公开招聘办法，建立健全岗位动态调整机制和考核奖励机制。深化县管校聘、县管乡用、医</w:t>
      </w:r>
      <w:r>
        <w:rPr>
          <w:rFonts w:hint="eastAsia" w:ascii="仿宋_GB2312" w:hAnsi="仿宋_GB2312" w:eastAsia="仿宋_GB2312" w:cs="仿宋_GB2312"/>
          <w:color w:val="auto"/>
          <w:sz w:val="32"/>
          <w:szCs w:val="32"/>
          <w:lang w:eastAsia="zh-CN"/>
        </w:rPr>
        <w:t>联</w:t>
      </w:r>
      <w:r>
        <w:rPr>
          <w:rFonts w:hint="eastAsia" w:ascii="仿宋_GB2312" w:hAnsi="仿宋_GB2312" w:eastAsia="仿宋_GB2312" w:cs="仿宋_GB2312"/>
          <w:color w:val="auto"/>
          <w:sz w:val="32"/>
          <w:szCs w:val="32"/>
        </w:rPr>
        <w:t>体改革，持续优化专项招聘机制，推进事业单位人才资源均衡配置。进一步完善聘用合同制度，发挥聘用合同在人员聘用、待遇、考核、奖惩方面基础性作用。</w:t>
      </w:r>
    </w:p>
    <w:p>
      <w:pPr>
        <w:keepLines w:val="0"/>
        <w:pageBreakBefore w:val="0"/>
        <w:kinsoku/>
        <w:wordWrap/>
        <w:overflowPunct/>
        <w:topLinePunct w:val="0"/>
        <w:autoSpaceDE/>
        <w:autoSpaceDN/>
        <w:bidi w:val="0"/>
        <w:adjustRightInd w:val="0"/>
        <w:snapToGrid w:val="0"/>
        <w:spacing w:line="560" w:lineRule="exact"/>
        <w:ind w:firstLine="643" w:firstLineChars="200"/>
        <w:rPr>
          <w:rFonts w:ascii="仿宋_GB2312" w:hAnsi="仿宋_GB2312" w:eastAsia="仿宋_GB2312" w:cs="仿宋_GB2312"/>
          <w:sz w:val="32"/>
          <w:szCs w:val="32"/>
          <w:lang w:bidi="zh-TW"/>
        </w:rPr>
      </w:pPr>
      <w:r>
        <w:rPr>
          <w:rFonts w:hint="eastAsia" w:ascii="仿宋_GB2312" w:hAnsi="仿宋_GB2312" w:eastAsia="仿宋_GB2312" w:cs="仿宋_GB2312"/>
          <w:b/>
          <w:sz w:val="32"/>
          <w:szCs w:val="32"/>
          <w:lang w:bidi="zh-TW"/>
        </w:rPr>
        <w:t>深化科研人员创新创业机制改革。</w:t>
      </w:r>
      <w:r>
        <w:rPr>
          <w:rFonts w:hint="eastAsia" w:ascii="仿宋_GB2312" w:hAnsi="仿宋_GB2312" w:eastAsia="仿宋_GB2312" w:cs="仿宋_GB2312"/>
          <w:sz w:val="32"/>
          <w:szCs w:val="32"/>
          <w:lang w:bidi="zh-TW"/>
        </w:rPr>
        <w:t>充分激发</w:t>
      </w:r>
      <w:r>
        <w:rPr>
          <w:rFonts w:hint="eastAsia" w:ascii="仿宋_GB2312" w:hAnsi="仿宋_GB2312" w:eastAsia="仿宋_GB2312" w:cs="仿宋_GB2312"/>
          <w:sz w:val="32"/>
          <w:szCs w:val="32"/>
          <w:lang w:eastAsia="zh-CN" w:bidi="zh-TW"/>
        </w:rPr>
        <w:t>学校、</w:t>
      </w:r>
      <w:r>
        <w:rPr>
          <w:rFonts w:hint="eastAsia" w:ascii="仿宋_GB2312" w:hAnsi="仿宋_GB2312" w:eastAsia="仿宋_GB2312" w:cs="仿宋_GB2312"/>
          <w:sz w:val="32"/>
          <w:szCs w:val="32"/>
          <w:lang w:bidi="zh-TW"/>
        </w:rPr>
        <w:t>科研院</w:t>
      </w:r>
      <w:r>
        <w:rPr>
          <w:rFonts w:hint="eastAsia" w:ascii="仿宋_GB2312" w:hAnsi="仿宋_GB2312" w:eastAsia="仿宋_GB2312" w:cs="仿宋_GB2312"/>
          <w:color w:val="auto"/>
          <w:sz w:val="32"/>
          <w:szCs w:val="32"/>
          <w:lang w:bidi="zh-TW"/>
        </w:rPr>
        <w:t>所、医院等</w:t>
      </w:r>
      <w:r>
        <w:rPr>
          <w:rFonts w:hint="eastAsia" w:ascii="仿宋_GB2312" w:hAnsi="仿宋_GB2312" w:eastAsia="仿宋_GB2312" w:cs="仿宋_GB2312"/>
          <w:sz w:val="32"/>
          <w:szCs w:val="32"/>
          <w:lang w:bidi="zh-TW"/>
        </w:rPr>
        <w:t>事业单位科研人员科技创新活力和科技成果转化创业热情，全面破解事业单位在编在岗科研人员申请离岗创办企业、在职创办企业和兼职创新过程中的制度束缚与政策障碍，全面取消职称、年龄、资历、科技成果形式、获奖层次、获得专利与否等限制事业单位科研人员投身“双创”的前置性限制。建立健全创新岗位科研人员合法权利及合理利益保障机制，完善绩效工资分配向创新岗位科研人员倾斜机制，实现事业单位科研人员创新创业从局部到整体、从现象到机制的跨越。</w:t>
      </w:r>
    </w:p>
    <w:p>
      <w:pPr>
        <w:keepLines w:val="0"/>
        <w:pageBreakBefore w:val="0"/>
        <w:kinsoku/>
        <w:wordWrap/>
        <w:overflowPunct/>
        <w:topLinePunct w:val="0"/>
        <w:autoSpaceDE/>
        <w:autoSpaceDN/>
        <w:bidi w:val="0"/>
        <w:adjustRightInd w:val="0"/>
        <w:snapToGrid w:val="0"/>
        <w:spacing w:line="560" w:lineRule="exact"/>
        <w:ind w:firstLine="643" w:firstLineChars="200"/>
        <w:rPr>
          <w:rFonts w:ascii="仿宋_GB2312" w:hAnsi="仿宋_GB2312" w:eastAsia="仿宋_GB2312" w:cs="仿宋_GB2312"/>
          <w:sz w:val="32"/>
          <w:szCs w:val="32"/>
          <w:lang w:bidi="zh-TW"/>
        </w:rPr>
      </w:pPr>
      <w:r>
        <w:rPr>
          <w:rFonts w:hint="eastAsia" w:ascii="仿宋_GB2312" w:hAnsi="仿宋_GB2312" w:eastAsia="仿宋_GB2312" w:cs="仿宋_GB2312"/>
          <w:b/>
          <w:sz w:val="32"/>
          <w:szCs w:val="32"/>
          <w:lang w:bidi="zh-TW"/>
        </w:rPr>
        <w:t>落实事业单位用人自主权。</w:t>
      </w:r>
      <w:r>
        <w:rPr>
          <w:rFonts w:hint="eastAsia" w:ascii="仿宋_GB2312" w:hAnsi="仿宋_GB2312" w:eastAsia="仿宋_GB2312" w:cs="仿宋_GB2312"/>
          <w:sz w:val="32"/>
          <w:szCs w:val="32"/>
          <w:lang w:bidi="zh-TW"/>
        </w:rPr>
        <w:t>建立以章程管理为依托，推进自主设岗、自主招聘、自主考核、自主评审、自主聘用、自主分配等人事管理改革，赋予面向社会提供公益服务的事业单位更大自主权。</w:t>
      </w:r>
    </w:p>
    <w:p>
      <w:pPr>
        <w:pStyle w:val="4"/>
        <w:keepNext w:val="0"/>
        <w:keepLines w:val="0"/>
        <w:pageBreakBefore w:val="0"/>
        <w:kinsoku/>
        <w:wordWrap/>
        <w:overflowPunct/>
        <w:topLinePunct w:val="0"/>
        <w:autoSpaceDE/>
        <w:autoSpaceDN/>
        <w:bidi w:val="0"/>
        <w:adjustRightInd w:val="0"/>
        <w:snapToGrid w:val="0"/>
        <w:spacing w:before="120" w:beforeLines="50" w:after="120" w:afterLines="50" w:line="560" w:lineRule="exact"/>
        <w:ind w:left="200"/>
        <w:jc w:val="center"/>
        <w:rPr>
          <w:rFonts w:ascii="Cambria" w:hAnsi="Cambria" w:eastAsia="楷体_GB2312"/>
          <w:color w:val="000000"/>
          <w:sz w:val="34"/>
        </w:rPr>
      </w:pPr>
      <w:bookmarkStart w:id="67" w:name="_Toc15082"/>
      <w:bookmarkStart w:id="68" w:name="_Toc10970"/>
      <w:r>
        <w:rPr>
          <w:rFonts w:hint="eastAsia" w:ascii="Cambria" w:hAnsi="Cambria" w:eastAsia="楷体_GB2312"/>
          <w:color w:val="000000"/>
          <w:sz w:val="34"/>
        </w:rPr>
        <w:t>第二节  改革完善事业单位薪酬分配制度</w:t>
      </w:r>
      <w:bookmarkEnd w:id="67"/>
      <w:bookmarkEnd w:id="68"/>
    </w:p>
    <w:p>
      <w:pPr>
        <w:keepLines w:val="0"/>
        <w:pageBreakBefore w:val="0"/>
        <w:kinsoku/>
        <w:wordWrap/>
        <w:overflowPunct/>
        <w:topLinePunct w:val="0"/>
        <w:autoSpaceDE/>
        <w:autoSpaceDN/>
        <w:bidi w:val="0"/>
        <w:spacing w:line="560" w:lineRule="exact"/>
        <w:ind w:firstLine="643" w:firstLineChars="200"/>
        <w:rPr>
          <w:rFonts w:ascii="仿宋_GB2312" w:hAnsi="仿宋_GB2312" w:eastAsia="仿宋_GB2312" w:cs="仿宋_GB2312"/>
          <w:color w:val="auto"/>
          <w:sz w:val="32"/>
          <w:szCs w:val="32"/>
          <w:lang w:bidi="zh-TW"/>
        </w:rPr>
      </w:pPr>
      <w:r>
        <w:rPr>
          <w:rFonts w:hint="eastAsia" w:ascii="仿宋_GB2312" w:hAnsi="仿宋_GB2312" w:eastAsia="仿宋_GB2312" w:cs="仿宋_GB2312"/>
          <w:b/>
          <w:sz w:val="32"/>
          <w:szCs w:val="32"/>
          <w:lang w:bidi="zh-TW"/>
        </w:rPr>
        <w:t>完善事业单位工资制度。</w:t>
      </w:r>
      <w:r>
        <w:rPr>
          <w:rFonts w:hint="eastAsia" w:ascii="仿宋_GB2312" w:hAnsi="仿宋_GB2312" w:eastAsia="仿宋_GB2312" w:cs="仿宋_GB2312"/>
          <w:color w:val="auto"/>
          <w:sz w:val="32"/>
          <w:szCs w:val="32"/>
          <w:lang w:bidi="zh-TW"/>
        </w:rPr>
        <w:t>按照国家和省统一部署，及时调整事业单位工作人员基本工资标准。逐步建立完善事业单位工作人员福利制度。完善区事业单位薪酬分配制度，确保工资收入分配合理有序。落实基本工资正常调整机制，合理确定绩效工资水平。分级分类优化事业单位绩效工资管理办法，探索建立符合事业单位行业特点的收入分配制度。建立联动增长机制，稳步提高事业单位工作人员工资收入水平。</w:t>
      </w:r>
    </w:p>
    <w:p>
      <w:pPr>
        <w:keepLines w:val="0"/>
        <w:pageBreakBefore w:val="0"/>
        <w:kinsoku/>
        <w:wordWrap/>
        <w:overflowPunct/>
        <w:topLinePunct w:val="0"/>
        <w:autoSpaceDE/>
        <w:autoSpaceDN/>
        <w:bidi w:val="0"/>
        <w:spacing w:line="560" w:lineRule="exact"/>
        <w:ind w:firstLine="643" w:firstLineChars="200"/>
        <w:rPr>
          <w:rFonts w:ascii="仿宋_GB2312" w:hAnsi="仿宋_GB2312" w:eastAsia="仿宋_GB2312" w:cs="仿宋_GB2312"/>
          <w:color w:val="auto"/>
          <w:sz w:val="32"/>
          <w:szCs w:val="32"/>
          <w:lang w:bidi="zh-TW"/>
        </w:rPr>
      </w:pPr>
      <w:r>
        <w:rPr>
          <w:rFonts w:hint="eastAsia" w:ascii="仿宋_GB2312" w:hAnsi="仿宋_GB2312" w:eastAsia="仿宋_GB2312" w:cs="仿宋_GB2312"/>
          <w:b/>
          <w:color w:val="auto"/>
          <w:sz w:val="32"/>
          <w:szCs w:val="32"/>
          <w:lang w:bidi="zh-TW"/>
        </w:rPr>
        <w:t>探索灵活多样薪酬分配机制。</w:t>
      </w:r>
      <w:r>
        <w:rPr>
          <w:rFonts w:hint="eastAsia" w:ascii="仿宋_GB2312" w:hAnsi="仿宋_GB2312" w:eastAsia="仿宋_GB2312" w:cs="仿宋_GB2312"/>
          <w:color w:val="auto"/>
          <w:sz w:val="32"/>
          <w:szCs w:val="32"/>
          <w:lang w:bidi="zh-TW"/>
        </w:rPr>
        <w:t>全面落实以增加知识价值为导向的收入分配政策，充分尊重科研、技术、管理人才，充分体现不同人力资本含量的价值。加大对相关重点单位的分配倾斜力度，进一步完善高层次人才、急需紧缺人才分配激励机制，允许相关单位按规定提取有关业务收入适当补充绩效工资，探索灵活多样薪酬分配机制，鼓励人才创新创造。</w:t>
      </w:r>
    </w:p>
    <w:p>
      <w:pPr>
        <w:keepLines w:val="0"/>
        <w:pageBreakBefore w:val="0"/>
        <w:kinsoku/>
        <w:wordWrap/>
        <w:overflowPunct/>
        <w:topLinePunct w:val="0"/>
        <w:autoSpaceDE/>
        <w:autoSpaceDN/>
        <w:bidi w:val="0"/>
        <w:spacing w:line="560" w:lineRule="exact"/>
        <w:ind w:firstLine="643" w:firstLineChars="200"/>
        <w:rPr>
          <w:rFonts w:hint="eastAsia" w:ascii="仿宋_GB2312" w:hAnsi="仿宋_GB2312" w:eastAsia="仿宋_GB2312" w:cs="仿宋_GB2312"/>
          <w:color w:val="auto"/>
          <w:sz w:val="32"/>
          <w:szCs w:val="32"/>
          <w:lang w:bidi="zh-TW"/>
        </w:rPr>
      </w:pPr>
      <w:r>
        <w:rPr>
          <w:rFonts w:hint="eastAsia" w:ascii="仿宋_GB2312" w:hAnsi="仿宋_GB2312" w:eastAsia="仿宋_GB2312" w:cs="仿宋_GB2312"/>
          <w:b/>
          <w:color w:val="auto"/>
          <w:sz w:val="32"/>
          <w:szCs w:val="32"/>
          <w:lang w:bidi="zh-TW"/>
        </w:rPr>
        <w:t>推进重点领域薪酬制度改革。</w:t>
      </w:r>
      <w:r>
        <w:rPr>
          <w:rFonts w:hint="eastAsia" w:ascii="仿宋_GB2312" w:hAnsi="仿宋_GB2312" w:eastAsia="仿宋_GB2312" w:cs="仿宋_GB2312"/>
          <w:color w:val="auto"/>
          <w:sz w:val="32"/>
          <w:szCs w:val="32"/>
          <w:lang w:bidi="zh-TW"/>
        </w:rPr>
        <w:t>按照“保基本、强激励”原则，探索推进公立医院等重点领域薪酬制度改革，支持加大自主分配力度。支持对符合规定条件的高层次人才或急需紧缺人才实行协议工资、年薪工资、项目工资等灵活多样分配方式。全面推进公立医院薪酬制度改革，落实“两个允许”原则，完善公立医院绩效工资总量核定办法。</w:t>
      </w:r>
    </w:p>
    <w:p>
      <w:pPr>
        <w:keepLines w:val="0"/>
        <w:pageBreakBefore w:val="0"/>
        <w:kinsoku/>
        <w:wordWrap/>
        <w:overflowPunct/>
        <w:topLinePunct w:val="0"/>
        <w:autoSpaceDE/>
        <w:autoSpaceDN/>
        <w:bidi w:val="0"/>
        <w:spacing w:line="560" w:lineRule="exact"/>
        <w:ind w:firstLine="643" w:firstLineChars="200"/>
        <w:rPr>
          <w:rFonts w:ascii="仿宋_GB2312" w:hAnsi="仿宋_GB2312" w:eastAsia="仿宋_GB2312" w:cs="仿宋_GB2312"/>
          <w:color w:val="auto"/>
          <w:sz w:val="32"/>
          <w:szCs w:val="32"/>
          <w:lang w:bidi="zh-TW"/>
        </w:rPr>
      </w:pPr>
      <w:r>
        <w:rPr>
          <w:rFonts w:hint="eastAsia" w:ascii="仿宋_GB2312" w:hAnsi="仿宋_GB2312" w:eastAsia="仿宋_GB2312" w:cs="仿宋_GB2312"/>
          <w:b/>
          <w:color w:val="auto"/>
          <w:sz w:val="32"/>
          <w:szCs w:val="32"/>
          <w:lang w:bidi="zh-TW"/>
        </w:rPr>
        <w:t>完善义务教育工资待遇政策。</w:t>
      </w:r>
      <w:r>
        <w:rPr>
          <w:rFonts w:hint="eastAsia" w:ascii="仿宋_GB2312" w:hAnsi="仿宋_GB2312" w:eastAsia="仿宋_GB2312" w:cs="仿宋_GB2312"/>
          <w:color w:val="auto"/>
          <w:sz w:val="32"/>
          <w:szCs w:val="32"/>
          <w:lang w:bidi="zh-TW"/>
        </w:rPr>
        <w:t>健全中小学教师待遇保障制度，依法保障教师权益和待遇，确保区域内中小学教师平均工资收入水平不低于当地公务员平均工资收入水平。建立联动增长机制，及时调整中小学教师的绩效工资水平，确保国家</w:t>
      </w:r>
      <w:r>
        <w:rPr>
          <w:rFonts w:hint="eastAsia" w:ascii="仿宋_GB2312" w:hAnsi="仿宋_GB2312" w:eastAsia="仿宋_GB2312" w:cs="仿宋_GB2312"/>
          <w:color w:val="auto"/>
          <w:sz w:val="32"/>
          <w:szCs w:val="32"/>
          <w:lang w:eastAsia="zh-CN" w:bidi="zh-TW"/>
        </w:rPr>
        <w:t>、</w:t>
      </w:r>
      <w:r>
        <w:rPr>
          <w:rFonts w:hint="eastAsia" w:ascii="仿宋_GB2312" w:hAnsi="仿宋_GB2312" w:eastAsia="仿宋_GB2312" w:cs="仿宋_GB2312"/>
          <w:color w:val="auto"/>
          <w:sz w:val="32"/>
          <w:szCs w:val="32"/>
          <w:lang w:bidi="zh-TW"/>
        </w:rPr>
        <w:t>省</w:t>
      </w:r>
      <w:r>
        <w:rPr>
          <w:rFonts w:hint="eastAsia" w:ascii="仿宋_GB2312" w:hAnsi="仿宋_GB2312" w:eastAsia="仿宋_GB2312" w:cs="仿宋_GB2312"/>
          <w:color w:val="auto"/>
          <w:sz w:val="32"/>
          <w:szCs w:val="32"/>
          <w:lang w:eastAsia="zh-CN" w:bidi="zh-TW"/>
        </w:rPr>
        <w:t>及</w:t>
      </w:r>
      <w:r>
        <w:rPr>
          <w:rFonts w:hint="eastAsia" w:ascii="仿宋_GB2312" w:hAnsi="仿宋_GB2312" w:eastAsia="仿宋_GB2312" w:cs="仿宋_GB2312"/>
          <w:color w:val="auto"/>
          <w:sz w:val="32"/>
          <w:szCs w:val="32"/>
          <w:lang w:bidi="zh-TW"/>
        </w:rPr>
        <w:t>市关于中小学工资待遇政策要求落实到位。探索对重点建设、获得政府表彰奖励、绩效考核优秀、办学成效显著等学校的绩效奖励性工资核增机制，保障支撑推动基础教育高质量发展。完善绩效工资内部自主分配激励机制，健全绩效工资激励导向功能，推动完善学校绩效工资内部分配办法，激发教师队伍活力。探索建立学校领导班子绩效工资奖励办法。</w:t>
      </w:r>
    </w:p>
    <w:p>
      <w:pPr>
        <w:pStyle w:val="4"/>
        <w:keepNext w:val="0"/>
        <w:keepLines w:val="0"/>
        <w:pageBreakBefore w:val="0"/>
        <w:kinsoku/>
        <w:wordWrap/>
        <w:overflowPunct/>
        <w:topLinePunct w:val="0"/>
        <w:autoSpaceDE/>
        <w:autoSpaceDN/>
        <w:bidi w:val="0"/>
        <w:adjustRightInd w:val="0"/>
        <w:snapToGrid w:val="0"/>
        <w:spacing w:before="120" w:beforeLines="50" w:after="120" w:afterLines="50" w:line="560" w:lineRule="exact"/>
        <w:ind w:left="200"/>
        <w:jc w:val="center"/>
        <w:rPr>
          <w:rFonts w:ascii="Cambria" w:hAnsi="Cambria" w:eastAsia="楷体_GB2312"/>
          <w:color w:val="auto"/>
          <w:sz w:val="34"/>
        </w:rPr>
      </w:pPr>
      <w:bookmarkStart w:id="69" w:name="_Toc22908"/>
      <w:bookmarkStart w:id="70" w:name="_Toc4442"/>
      <w:r>
        <w:rPr>
          <w:rFonts w:hint="eastAsia" w:ascii="Cambria" w:hAnsi="Cambria" w:eastAsia="楷体_GB2312"/>
          <w:color w:val="auto"/>
          <w:sz w:val="34"/>
        </w:rPr>
        <w:t>第三节  完善事业单位人事管理服务</w:t>
      </w:r>
      <w:bookmarkEnd w:id="69"/>
      <w:bookmarkEnd w:id="70"/>
    </w:p>
    <w:p>
      <w:pPr>
        <w:keepLines w:val="0"/>
        <w:pageBreakBefore w:val="0"/>
        <w:kinsoku/>
        <w:wordWrap/>
        <w:overflowPunct/>
        <w:topLinePunct w:val="0"/>
        <w:autoSpaceDE/>
        <w:autoSpaceDN/>
        <w:bidi w:val="0"/>
        <w:adjustRightInd w:val="0"/>
        <w:snapToGrid w:val="0"/>
        <w:spacing w:line="560" w:lineRule="exact"/>
        <w:ind w:firstLine="643" w:firstLineChars="200"/>
        <w:rPr>
          <w:rFonts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lang w:bidi="zh-TW"/>
        </w:rPr>
        <w:t>加强人事管理服务监督。</w:t>
      </w:r>
      <w:r>
        <w:rPr>
          <w:rFonts w:hint="eastAsia" w:ascii="仿宋_GB2312" w:hAnsi="仿宋_GB2312" w:eastAsia="仿宋_GB2312" w:cs="仿宋_GB2312"/>
          <w:color w:val="auto"/>
          <w:sz w:val="32"/>
          <w:szCs w:val="32"/>
        </w:rPr>
        <w:t>明确事业单位人事管理监管主体责任，提升人事争议案件仲裁效能，健全调查处理机制。完善事业单位人事备案管理，开展事业单位人事执法检查，及时发现和纠正问题。推动事业单位建立人事监督员制度，定期开展人事法规政策执行民主评议。强化新闻媒介和社会舆论监督。强化事业单位人事管理信息数据预警功能建设，实现全方位、高效动态监管。</w:t>
      </w:r>
    </w:p>
    <w:p>
      <w:pPr>
        <w:keepLines w:val="0"/>
        <w:pageBreakBefore w:val="0"/>
        <w:kinsoku/>
        <w:wordWrap/>
        <w:overflowPunct/>
        <w:topLinePunct w:val="0"/>
        <w:autoSpaceDE/>
        <w:autoSpaceDN/>
        <w:bidi w:val="0"/>
        <w:adjustRightInd w:val="0"/>
        <w:snapToGrid w:val="0"/>
        <w:spacing w:line="560" w:lineRule="exact"/>
        <w:ind w:firstLine="643" w:firstLineChars="200"/>
        <w:rPr>
          <w:rFonts w:ascii="仿宋_GB2312" w:hAnsi="仿宋_GB2312" w:eastAsia="仿宋_GB2312" w:cs="仿宋_GB2312"/>
          <w:sz w:val="32"/>
          <w:szCs w:val="32"/>
          <w:lang w:bidi="zh-TW"/>
        </w:rPr>
      </w:pPr>
      <w:r>
        <w:rPr>
          <w:rFonts w:hint="eastAsia" w:ascii="仿宋_GB2312" w:hAnsi="仿宋_GB2312" w:eastAsia="仿宋_GB2312" w:cs="仿宋_GB2312"/>
          <w:b/>
          <w:sz w:val="32"/>
          <w:szCs w:val="32"/>
          <w:lang w:bidi="zh-TW"/>
        </w:rPr>
        <w:t>提高人事管理服务信息化水平。</w:t>
      </w:r>
      <w:r>
        <w:rPr>
          <w:rFonts w:hint="eastAsia" w:ascii="仿宋_GB2312" w:hAnsi="仿宋_GB2312" w:eastAsia="仿宋_GB2312" w:cs="仿宋_GB2312"/>
          <w:sz w:val="32"/>
          <w:szCs w:val="32"/>
          <w:lang w:bidi="zh-TW"/>
        </w:rPr>
        <w:t>配合省开发建设全省事业单位人事管理系统，强化综合岗位管理、岗位聘用、公开招聘、增减员、聘用合同管理、奖励处分、人员信息管理等功能应用。积极推进事业单位工资管理信息化建设。</w:t>
      </w:r>
    </w:p>
    <w:p>
      <w:pPr>
        <w:keepLines w:val="0"/>
        <w:pageBreakBefore w:val="0"/>
        <w:kinsoku/>
        <w:wordWrap/>
        <w:overflowPunct/>
        <w:topLinePunct w:val="0"/>
        <w:autoSpaceDE/>
        <w:autoSpaceDN/>
        <w:bidi w:val="0"/>
        <w:adjustRightInd w:val="0"/>
        <w:snapToGrid w:val="0"/>
        <w:spacing w:line="560" w:lineRule="exact"/>
        <w:ind w:firstLine="643" w:firstLineChars="200"/>
      </w:pPr>
      <w:r>
        <w:rPr>
          <w:rFonts w:hint="eastAsia" w:ascii="仿宋_GB2312" w:hAnsi="仿宋_GB2312" w:eastAsia="仿宋_GB2312" w:cs="仿宋_GB2312"/>
          <w:b/>
          <w:sz w:val="32"/>
          <w:szCs w:val="32"/>
          <w:lang w:bidi="zh-TW"/>
        </w:rPr>
        <w:t>加强人事考试基础建设。</w:t>
      </w:r>
      <w:r>
        <w:rPr>
          <w:rFonts w:hint="eastAsia" w:ascii="仿宋_GB2312" w:hAnsi="仿宋_GB2312" w:eastAsia="仿宋_GB2312" w:cs="仿宋_GB2312"/>
          <w:color w:val="auto"/>
          <w:sz w:val="32"/>
          <w:szCs w:val="32"/>
          <w:lang w:bidi="zh-TW"/>
        </w:rPr>
        <w:t>推进可视化监控指挥系统建设，推广计算机无纸化考试，探索远程在线考试。完善人事考试风险防控网络体系，加强内部管控和外部联防，不断夯实人事考试安全基础。</w:t>
      </w:r>
    </w:p>
    <w:p>
      <w:pPr>
        <w:pStyle w:val="3"/>
        <w:keepLines w:val="0"/>
        <w:pageBreakBefore w:val="0"/>
        <w:kinsoku/>
        <w:wordWrap/>
        <w:overflowPunct/>
        <w:topLinePunct w:val="0"/>
        <w:autoSpaceDE/>
        <w:autoSpaceDN/>
        <w:bidi w:val="0"/>
        <w:adjustRightInd w:val="0"/>
        <w:snapToGrid w:val="0"/>
        <w:spacing w:before="120" w:beforeLines="50" w:after="120" w:afterLines="50" w:line="560" w:lineRule="exact"/>
        <w:jc w:val="center"/>
        <w:rPr>
          <w:rFonts w:hint="eastAsia" w:ascii="Calibri" w:hAnsi="Calibri" w:eastAsia="黑体"/>
          <w:sz w:val="44"/>
          <w:szCs w:val="44"/>
          <w:lang w:val="en-US" w:eastAsia="zh-CN"/>
        </w:rPr>
      </w:pPr>
      <w:bookmarkStart w:id="71" w:name="_Toc22484"/>
    </w:p>
    <w:p>
      <w:pPr>
        <w:pStyle w:val="3"/>
        <w:keepLines w:val="0"/>
        <w:pageBreakBefore w:val="0"/>
        <w:kinsoku/>
        <w:wordWrap/>
        <w:overflowPunct/>
        <w:topLinePunct w:val="0"/>
        <w:autoSpaceDE/>
        <w:autoSpaceDN/>
        <w:bidi w:val="0"/>
        <w:adjustRightInd w:val="0"/>
        <w:snapToGrid w:val="0"/>
        <w:spacing w:before="120" w:beforeLines="50" w:after="120" w:afterLines="50" w:line="560" w:lineRule="exact"/>
        <w:jc w:val="center"/>
        <w:rPr>
          <w:rFonts w:hint="eastAsia" w:ascii="Calibri" w:hAnsi="Calibri" w:eastAsia="黑体"/>
          <w:sz w:val="44"/>
          <w:szCs w:val="44"/>
          <w:lang w:val="en-US" w:eastAsia="zh-CN"/>
        </w:rPr>
      </w:pPr>
    </w:p>
    <w:p>
      <w:pPr>
        <w:pStyle w:val="3"/>
        <w:keepLines w:val="0"/>
        <w:pageBreakBefore w:val="0"/>
        <w:kinsoku/>
        <w:wordWrap/>
        <w:overflowPunct/>
        <w:topLinePunct w:val="0"/>
        <w:autoSpaceDE/>
        <w:autoSpaceDN/>
        <w:bidi w:val="0"/>
        <w:adjustRightInd w:val="0"/>
        <w:snapToGrid w:val="0"/>
        <w:spacing w:before="120" w:beforeLines="50" w:after="120" w:afterLines="50" w:line="560" w:lineRule="exact"/>
        <w:jc w:val="center"/>
        <w:rPr>
          <w:rFonts w:hint="eastAsia" w:ascii="Calibri" w:hAnsi="Calibri" w:eastAsia="黑体"/>
          <w:sz w:val="44"/>
          <w:szCs w:val="44"/>
          <w:lang w:val="en-US" w:eastAsia="zh-CN"/>
        </w:rPr>
      </w:pPr>
    </w:p>
    <w:p>
      <w:pPr>
        <w:pStyle w:val="3"/>
        <w:keepLines w:val="0"/>
        <w:pageBreakBefore w:val="0"/>
        <w:kinsoku/>
        <w:wordWrap/>
        <w:overflowPunct/>
        <w:topLinePunct w:val="0"/>
        <w:autoSpaceDE/>
        <w:autoSpaceDN/>
        <w:bidi w:val="0"/>
        <w:adjustRightInd w:val="0"/>
        <w:snapToGrid w:val="0"/>
        <w:spacing w:before="120" w:beforeLines="50" w:after="120" w:afterLines="50" w:line="560" w:lineRule="exact"/>
        <w:jc w:val="center"/>
        <w:rPr>
          <w:rFonts w:hint="eastAsia" w:ascii="Calibri" w:hAnsi="Calibri" w:eastAsia="黑体"/>
          <w:sz w:val="44"/>
          <w:szCs w:val="44"/>
          <w:lang w:val="en-US" w:eastAsia="zh-CN"/>
        </w:rPr>
      </w:pPr>
    </w:p>
    <w:p>
      <w:pPr>
        <w:pStyle w:val="3"/>
        <w:keepLines w:val="0"/>
        <w:pageBreakBefore w:val="0"/>
        <w:kinsoku/>
        <w:wordWrap/>
        <w:overflowPunct/>
        <w:topLinePunct w:val="0"/>
        <w:autoSpaceDE/>
        <w:autoSpaceDN/>
        <w:bidi w:val="0"/>
        <w:adjustRightInd w:val="0"/>
        <w:snapToGrid w:val="0"/>
        <w:spacing w:before="120" w:beforeLines="50" w:after="120" w:afterLines="50" w:line="560" w:lineRule="exact"/>
        <w:jc w:val="center"/>
        <w:rPr>
          <w:rFonts w:hint="eastAsia" w:ascii="Calibri" w:hAnsi="Calibri" w:eastAsia="黑体"/>
          <w:sz w:val="44"/>
          <w:szCs w:val="44"/>
          <w:lang w:val="en-US" w:eastAsia="zh-CN"/>
        </w:rPr>
      </w:pPr>
    </w:p>
    <w:p>
      <w:pPr>
        <w:pStyle w:val="3"/>
        <w:keepLines w:val="0"/>
        <w:pageBreakBefore w:val="0"/>
        <w:kinsoku/>
        <w:wordWrap/>
        <w:overflowPunct/>
        <w:topLinePunct w:val="0"/>
        <w:autoSpaceDE/>
        <w:autoSpaceDN/>
        <w:bidi w:val="0"/>
        <w:adjustRightInd w:val="0"/>
        <w:snapToGrid w:val="0"/>
        <w:spacing w:before="120" w:beforeLines="50" w:after="120" w:afterLines="50" w:line="560" w:lineRule="exact"/>
        <w:jc w:val="center"/>
        <w:rPr>
          <w:rFonts w:hint="eastAsia" w:ascii="Calibri" w:hAnsi="Calibri" w:eastAsia="黑体"/>
          <w:sz w:val="44"/>
          <w:szCs w:val="44"/>
          <w:lang w:val="en-US" w:eastAsia="zh-CN"/>
        </w:rPr>
      </w:pPr>
    </w:p>
    <w:p>
      <w:pPr>
        <w:pStyle w:val="3"/>
        <w:keepLines w:val="0"/>
        <w:pageBreakBefore w:val="0"/>
        <w:kinsoku/>
        <w:wordWrap/>
        <w:overflowPunct/>
        <w:topLinePunct w:val="0"/>
        <w:autoSpaceDE/>
        <w:autoSpaceDN/>
        <w:bidi w:val="0"/>
        <w:adjustRightInd w:val="0"/>
        <w:snapToGrid w:val="0"/>
        <w:spacing w:before="120" w:beforeLines="50" w:after="120" w:afterLines="50" w:line="560" w:lineRule="exact"/>
        <w:jc w:val="center"/>
        <w:rPr>
          <w:rFonts w:hint="eastAsia" w:ascii="Calibri" w:hAnsi="Calibri" w:eastAsia="黑体"/>
          <w:sz w:val="44"/>
          <w:szCs w:val="44"/>
          <w:lang w:val="en-US" w:eastAsia="zh-CN"/>
        </w:rPr>
      </w:pPr>
    </w:p>
    <w:p>
      <w:pPr>
        <w:pStyle w:val="3"/>
        <w:keepLines w:val="0"/>
        <w:pageBreakBefore w:val="0"/>
        <w:kinsoku/>
        <w:wordWrap/>
        <w:overflowPunct/>
        <w:topLinePunct w:val="0"/>
        <w:autoSpaceDE/>
        <w:autoSpaceDN/>
        <w:bidi w:val="0"/>
        <w:adjustRightInd w:val="0"/>
        <w:snapToGrid w:val="0"/>
        <w:spacing w:before="120" w:beforeLines="50" w:after="120" w:afterLines="50" w:line="560" w:lineRule="exact"/>
        <w:jc w:val="center"/>
        <w:rPr>
          <w:rFonts w:hint="eastAsia" w:ascii="Calibri" w:hAnsi="Calibri" w:eastAsia="黑体"/>
          <w:sz w:val="44"/>
          <w:szCs w:val="44"/>
          <w:lang w:val="en-US" w:eastAsia="zh-CN"/>
        </w:rPr>
      </w:pPr>
    </w:p>
    <w:p>
      <w:pPr>
        <w:pStyle w:val="3"/>
        <w:keepLines w:val="0"/>
        <w:pageBreakBefore w:val="0"/>
        <w:kinsoku/>
        <w:wordWrap/>
        <w:overflowPunct/>
        <w:topLinePunct w:val="0"/>
        <w:autoSpaceDE/>
        <w:autoSpaceDN/>
        <w:bidi w:val="0"/>
        <w:adjustRightInd w:val="0"/>
        <w:snapToGrid w:val="0"/>
        <w:spacing w:before="120" w:beforeLines="50" w:after="120" w:afterLines="50" w:line="560" w:lineRule="exact"/>
        <w:jc w:val="center"/>
        <w:rPr>
          <w:rFonts w:hint="eastAsia" w:ascii="Calibri" w:hAnsi="Calibri" w:eastAsia="黑体"/>
          <w:sz w:val="44"/>
          <w:szCs w:val="44"/>
          <w:lang w:val="en-US" w:eastAsia="zh-CN"/>
        </w:rPr>
      </w:pPr>
    </w:p>
    <w:p>
      <w:pPr>
        <w:pStyle w:val="3"/>
        <w:keepLines w:val="0"/>
        <w:pageBreakBefore w:val="0"/>
        <w:kinsoku/>
        <w:wordWrap/>
        <w:overflowPunct/>
        <w:topLinePunct w:val="0"/>
        <w:autoSpaceDE/>
        <w:autoSpaceDN/>
        <w:bidi w:val="0"/>
        <w:adjustRightInd w:val="0"/>
        <w:snapToGrid w:val="0"/>
        <w:spacing w:before="120" w:beforeLines="50" w:after="120" w:afterLines="50" w:line="560" w:lineRule="exact"/>
        <w:jc w:val="center"/>
        <w:rPr>
          <w:rFonts w:ascii="Calibri" w:hAnsi="Calibri" w:eastAsia="黑体"/>
          <w:sz w:val="44"/>
          <w:szCs w:val="44"/>
          <w:lang w:val="en-US" w:eastAsia="zh-CN"/>
        </w:rPr>
      </w:pPr>
      <w:bookmarkStart w:id="72" w:name="_Toc27333"/>
      <w:r>
        <w:rPr>
          <w:rFonts w:hint="eastAsia" w:ascii="Calibri" w:hAnsi="Calibri" w:eastAsia="黑体"/>
          <w:sz w:val="44"/>
          <w:szCs w:val="44"/>
          <w:lang w:val="en-US" w:eastAsia="zh-CN"/>
        </w:rPr>
        <w:t>第八章  构建新型和谐劳动关</w:t>
      </w:r>
      <w:bookmarkEnd w:id="64"/>
      <w:r>
        <w:rPr>
          <w:rFonts w:hint="eastAsia" w:ascii="Calibri" w:hAnsi="Calibri" w:eastAsia="黑体"/>
          <w:sz w:val="44"/>
          <w:szCs w:val="44"/>
          <w:lang w:val="en-US" w:eastAsia="zh-CN"/>
        </w:rPr>
        <w:t>系</w:t>
      </w:r>
      <w:bookmarkEnd w:id="71"/>
      <w:bookmarkEnd w:id="72"/>
    </w:p>
    <w:p>
      <w:pPr>
        <w:keepLines w:val="0"/>
        <w:pageBreakBefore w:val="0"/>
        <w:kinsoku/>
        <w:wordWrap/>
        <w:overflowPunct/>
        <w:topLinePunct w:val="0"/>
        <w:autoSpaceDE/>
        <w:autoSpaceDN/>
        <w:bidi w:val="0"/>
        <w:adjustRightInd w:val="0"/>
        <w:spacing w:line="560" w:lineRule="exact"/>
        <w:ind w:firstLine="640" w:firstLineChars="200"/>
        <w:rPr>
          <w:rFonts w:hint="eastAsia" w:ascii="仿宋_GB2312" w:eastAsia="仿宋_GB2312"/>
          <w:sz w:val="32"/>
          <w:szCs w:val="32"/>
        </w:rPr>
      </w:pPr>
      <w:bookmarkStart w:id="73" w:name="_Toc23013"/>
    </w:p>
    <w:p>
      <w:pPr>
        <w:keepLines w:val="0"/>
        <w:pageBreakBefore w:val="0"/>
        <w:kinsoku/>
        <w:wordWrap/>
        <w:overflowPunct/>
        <w:topLinePunct w:val="0"/>
        <w:autoSpaceDE/>
        <w:autoSpaceDN/>
        <w:bidi w:val="0"/>
        <w:adjustRightInd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坚持促进企业发展、维护职工权益，进一步完善党委领导、政府负责、社会协同、企业和职工参与、法治保障的工作体制和源头治理、动态处理、应急处置相结合的工作机制，大力提升劳动关系治理能力和治理水平，建立规范有序、公正合理、互利共赢、和谐稳定的新型劳动关系。</w:t>
      </w:r>
    </w:p>
    <w:p>
      <w:pPr>
        <w:pStyle w:val="12"/>
      </w:pPr>
    </w:p>
    <w:p>
      <w:pPr>
        <w:pStyle w:val="4"/>
        <w:keepNext w:val="0"/>
        <w:keepLines w:val="0"/>
        <w:pageBreakBefore w:val="0"/>
        <w:kinsoku/>
        <w:wordWrap/>
        <w:overflowPunct/>
        <w:topLinePunct w:val="0"/>
        <w:autoSpaceDE/>
        <w:autoSpaceDN/>
        <w:bidi w:val="0"/>
        <w:adjustRightInd w:val="0"/>
        <w:snapToGrid w:val="0"/>
        <w:spacing w:before="120" w:beforeLines="50" w:after="120" w:afterLines="50" w:line="560" w:lineRule="exact"/>
        <w:ind w:left="200"/>
        <w:jc w:val="center"/>
        <w:rPr>
          <w:rFonts w:ascii="仿宋_GB2312" w:hAnsi="仿宋_GB2312" w:eastAsia="仿宋_GB2312" w:cs="仿宋_GB2312"/>
          <w:b/>
          <w:color w:val="auto"/>
          <w:sz w:val="32"/>
          <w:szCs w:val="32"/>
          <w:lang w:bidi="zh-TW"/>
        </w:rPr>
      </w:pPr>
      <w:bookmarkStart w:id="74" w:name="_Toc28748"/>
      <w:bookmarkStart w:id="75" w:name="_Toc2006"/>
      <w:bookmarkStart w:id="76" w:name="_Toc2090"/>
      <w:bookmarkStart w:id="77" w:name="_Toc3387"/>
      <w:bookmarkStart w:id="78" w:name="_Toc17589"/>
      <w:bookmarkStart w:id="79" w:name="_Toc17740"/>
      <w:r>
        <w:rPr>
          <w:rFonts w:hint="eastAsia" w:ascii="Cambria" w:hAnsi="Cambria" w:eastAsia="楷体_GB2312"/>
          <w:color w:val="auto"/>
          <w:sz w:val="34"/>
        </w:rPr>
        <w:t>第一节   健全劳动关系协调机制</w:t>
      </w:r>
      <w:bookmarkEnd w:id="74"/>
    </w:p>
    <w:p>
      <w:pPr>
        <w:keepLines w:val="0"/>
        <w:pageBreakBefore w:val="0"/>
        <w:kinsoku/>
        <w:wordWrap/>
        <w:overflowPunct/>
        <w:topLinePunct w:val="0"/>
        <w:autoSpaceDE/>
        <w:autoSpaceDN/>
        <w:bidi w:val="0"/>
        <w:spacing w:line="560" w:lineRule="exact"/>
        <w:ind w:firstLine="643" w:firstLineChars="200"/>
        <w:rPr>
          <w:rFonts w:ascii="仿宋_GB2312" w:eastAsia="仿宋_GB2312"/>
          <w:color w:val="auto"/>
          <w:sz w:val="32"/>
          <w:szCs w:val="32"/>
        </w:rPr>
      </w:pPr>
      <w:r>
        <w:rPr>
          <w:rFonts w:hint="eastAsia" w:ascii="仿宋_GB2312" w:hAnsi="仿宋_GB2312" w:eastAsia="仿宋_GB2312" w:cs="仿宋_GB2312"/>
          <w:b/>
          <w:color w:val="auto"/>
          <w:sz w:val="32"/>
          <w:szCs w:val="32"/>
          <w:lang w:bidi="zh-TW"/>
        </w:rPr>
        <w:t>加强劳动合同管理。</w:t>
      </w:r>
      <w:r>
        <w:rPr>
          <w:rFonts w:hint="eastAsia" w:ascii="仿宋_GB2312" w:eastAsia="仿宋_GB2312"/>
          <w:color w:val="auto"/>
          <w:sz w:val="32"/>
          <w:szCs w:val="32"/>
        </w:rPr>
        <w:t>全面深入推行劳动合同制度，完善劳动用工备案制度，巩固大中型企业劳动合同签订率，提高小微企业和农民工劳动合同签订率，改善劳动合同履行质量。实施电子劳动合同标准工程。根据省电子劳动合同指引，选取部分企业探索开展电子劳动合同试点，推动劳动合同签订全覆盖。建立劳动合同实名制管理制度，实现劳动合同签订全员覆盖。进一步规范劳务派遣经营行政许可，优化完善劳务派遣管理系统，实现全程网上办理行政许可和劳务派遣用工动态监管。</w:t>
      </w:r>
    </w:p>
    <w:p>
      <w:pPr>
        <w:keepLines w:val="0"/>
        <w:pageBreakBefore w:val="0"/>
        <w:kinsoku/>
        <w:wordWrap/>
        <w:overflowPunct/>
        <w:topLinePunct w:val="0"/>
        <w:autoSpaceDE/>
        <w:autoSpaceDN/>
        <w:bidi w:val="0"/>
        <w:spacing w:line="560" w:lineRule="exact"/>
        <w:ind w:firstLine="643" w:firstLineChars="200"/>
        <w:rPr>
          <w:rFonts w:ascii="仿宋_GB2312" w:eastAsia="仿宋_GB2312"/>
          <w:color w:val="auto"/>
          <w:sz w:val="32"/>
          <w:szCs w:val="32"/>
        </w:rPr>
      </w:pPr>
      <w:r>
        <w:rPr>
          <w:rFonts w:hint="eastAsia" w:ascii="仿宋_GB2312" w:eastAsia="仿宋_GB2312"/>
          <w:b/>
          <w:color w:val="auto"/>
          <w:sz w:val="32"/>
          <w:szCs w:val="32"/>
        </w:rPr>
        <w:t>加强劳动关系形势分析和风险监测预警。</w:t>
      </w:r>
      <w:r>
        <w:rPr>
          <w:rFonts w:hint="eastAsia" w:ascii="仿宋_GB2312" w:eastAsia="仿宋_GB2312"/>
          <w:color w:val="auto"/>
          <w:sz w:val="32"/>
          <w:szCs w:val="32"/>
        </w:rPr>
        <w:t>分析研判劳动关系形势和发展趋势，特别是对劳资矛盾高发的区域、行业予以超前预测发现，由事后处置前移到事先防控，及时解决苗头性、倾向性问题。做好经济结构调整过程中劳动关系处理工作，完善企业经济性裁员监测制度，定期监测企业裁员情况，指导企业依法制定和实施裁员方案，依法支付被裁减人员工资、经济补偿等，妥善处置劳资纠纷,完善劳动关系情况月报告及形势分析制度，推动建立劳动关系风险监测预警制度，加大劳动关系领域重大舆情监测和应对。</w:t>
      </w:r>
    </w:p>
    <w:p>
      <w:pPr>
        <w:keepLines w:val="0"/>
        <w:pageBreakBefore w:val="0"/>
        <w:kinsoku/>
        <w:wordWrap/>
        <w:overflowPunct/>
        <w:topLinePunct w:val="0"/>
        <w:autoSpaceDE/>
        <w:autoSpaceDN/>
        <w:bidi w:val="0"/>
        <w:spacing w:line="560" w:lineRule="exact"/>
        <w:ind w:firstLine="643" w:firstLineChars="200"/>
        <w:rPr>
          <w:rFonts w:ascii="仿宋_GB2312" w:eastAsia="仿宋_GB2312"/>
          <w:color w:val="auto"/>
          <w:sz w:val="32"/>
          <w:szCs w:val="32"/>
        </w:rPr>
      </w:pPr>
      <w:r>
        <w:rPr>
          <w:rFonts w:hint="eastAsia" w:ascii="仿宋_GB2312" w:eastAsia="仿宋_GB2312"/>
          <w:b/>
          <w:color w:val="auto"/>
          <w:sz w:val="32"/>
          <w:szCs w:val="32"/>
        </w:rPr>
        <w:t>健全新型劳动关系协调机制。</w:t>
      </w:r>
      <w:r>
        <w:rPr>
          <w:rFonts w:hint="eastAsia" w:ascii="仿宋_GB2312" w:eastAsia="仿宋_GB2312"/>
          <w:color w:val="auto"/>
          <w:sz w:val="32"/>
          <w:szCs w:val="32"/>
        </w:rPr>
        <w:t>推行行业性、区域性集体协商签订集体合同，推动企业建立健全民主管理制度，提高企业和职工协商能力和质量，增强集体合同的实效性和履约率。完善协调劳动关系三方机制，加强和创新三方机制组织建设，积极推动工业园区、镇（街道）和产业系统建立三方机制。改善用工环境，加强人文关怀，构建具有汕尾特色的用工文化。</w:t>
      </w:r>
    </w:p>
    <w:p>
      <w:pPr>
        <w:keepLines w:val="0"/>
        <w:pageBreakBefore w:val="0"/>
        <w:kinsoku/>
        <w:wordWrap/>
        <w:overflowPunct/>
        <w:topLinePunct w:val="0"/>
        <w:autoSpaceDE/>
        <w:autoSpaceDN/>
        <w:bidi w:val="0"/>
        <w:spacing w:line="560" w:lineRule="exact"/>
        <w:rPr>
          <w:rFonts w:ascii="仿宋_GB2312" w:eastAsia="仿宋_GB2312"/>
          <w:color w:val="auto"/>
          <w:sz w:val="32"/>
          <w:szCs w:val="32"/>
        </w:rPr>
      </w:pPr>
    </w:p>
    <w:p>
      <w:pPr>
        <w:pStyle w:val="4"/>
        <w:keepNext w:val="0"/>
        <w:keepLines w:val="0"/>
        <w:pageBreakBefore w:val="0"/>
        <w:kinsoku/>
        <w:wordWrap/>
        <w:overflowPunct/>
        <w:topLinePunct w:val="0"/>
        <w:autoSpaceDE/>
        <w:autoSpaceDN/>
        <w:bidi w:val="0"/>
        <w:adjustRightInd w:val="0"/>
        <w:snapToGrid w:val="0"/>
        <w:spacing w:before="120" w:beforeLines="50" w:after="120" w:afterLines="50" w:line="560" w:lineRule="exact"/>
        <w:ind w:left="200"/>
        <w:jc w:val="center"/>
        <w:rPr>
          <w:color w:val="auto"/>
        </w:rPr>
      </w:pPr>
      <w:bookmarkStart w:id="80" w:name="_Toc16579"/>
      <w:r>
        <w:rPr>
          <w:rFonts w:hint="eastAsia" w:ascii="Cambria" w:hAnsi="Cambria" w:eastAsia="楷体_GB2312"/>
          <w:color w:val="auto"/>
          <w:sz w:val="34"/>
        </w:rPr>
        <w:t>第二节  深化企业工资收入分配制度改革</w:t>
      </w:r>
      <w:bookmarkEnd w:id="80"/>
    </w:p>
    <w:p>
      <w:pPr>
        <w:keepLines w:val="0"/>
        <w:pageBreakBefore w:val="0"/>
        <w:kinsoku/>
        <w:wordWrap/>
        <w:overflowPunct/>
        <w:topLinePunct w:val="0"/>
        <w:autoSpaceDE/>
        <w:autoSpaceDN/>
        <w:bidi w:val="0"/>
        <w:spacing w:line="560" w:lineRule="exact"/>
        <w:ind w:firstLine="643" w:firstLineChars="200"/>
        <w:rPr>
          <w:rFonts w:ascii="仿宋_GB2312" w:eastAsia="仿宋_GB2312"/>
          <w:color w:val="auto"/>
          <w:sz w:val="32"/>
          <w:szCs w:val="32"/>
        </w:rPr>
      </w:pPr>
      <w:r>
        <w:rPr>
          <w:rFonts w:hint="eastAsia" w:ascii="仿宋_GB2312" w:eastAsia="仿宋_GB2312"/>
          <w:b/>
          <w:color w:val="auto"/>
          <w:sz w:val="32"/>
          <w:szCs w:val="32"/>
        </w:rPr>
        <w:t>完善工资决定和正常增长机制。</w:t>
      </w:r>
      <w:r>
        <w:rPr>
          <w:rFonts w:hint="eastAsia" w:ascii="仿宋_GB2312" w:eastAsia="仿宋_GB2312"/>
          <w:color w:val="auto"/>
          <w:sz w:val="32"/>
          <w:szCs w:val="32"/>
        </w:rPr>
        <w:t>健全劳动、知识、技术、管理等要素按贡献决定报酬的机制，提高劳动报酬在初次分配中的比重，合理调节收入分配差距。完善最低工资保障制度，实施最低工资标准动态评估，健全与经济发展相适应的最低工资标准动态调整机制。</w:t>
      </w:r>
    </w:p>
    <w:p>
      <w:pPr>
        <w:keepLines w:val="0"/>
        <w:pageBreakBefore w:val="0"/>
        <w:kinsoku/>
        <w:wordWrap/>
        <w:overflowPunct/>
        <w:topLinePunct w:val="0"/>
        <w:autoSpaceDE/>
        <w:autoSpaceDN/>
        <w:bidi w:val="0"/>
        <w:spacing w:line="560" w:lineRule="exact"/>
        <w:ind w:firstLine="643" w:firstLineChars="200"/>
        <w:rPr>
          <w:rFonts w:ascii="仿宋_GB2312" w:eastAsia="仿宋_GB2312"/>
          <w:color w:val="auto"/>
          <w:sz w:val="32"/>
          <w:szCs w:val="32"/>
        </w:rPr>
      </w:pPr>
      <w:r>
        <w:rPr>
          <w:rFonts w:hint="eastAsia" w:ascii="仿宋_GB2312" w:eastAsia="仿宋_GB2312"/>
          <w:b/>
          <w:color w:val="auto"/>
          <w:sz w:val="32"/>
          <w:szCs w:val="32"/>
        </w:rPr>
        <w:t>完善工资集体协商制度。</w:t>
      </w:r>
      <w:r>
        <w:rPr>
          <w:rFonts w:hint="eastAsia" w:ascii="仿宋_GB2312" w:eastAsia="仿宋_GB2312"/>
          <w:color w:val="auto"/>
          <w:sz w:val="32"/>
          <w:szCs w:val="32"/>
        </w:rPr>
        <w:t>以非公有制企业为重点，完善工资集体协商制度。全面贯彻落实以增加知识价值为导向的收入分配政策，推动企业在分配中体现技术、知识、管理、数据等要素的价值，鼓励企业在创新创业中创造高收入岗位。</w:t>
      </w:r>
    </w:p>
    <w:p>
      <w:pPr>
        <w:keepLines w:val="0"/>
        <w:pageBreakBefore w:val="0"/>
        <w:kinsoku/>
        <w:wordWrap/>
        <w:overflowPunct/>
        <w:topLinePunct w:val="0"/>
        <w:autoSpaceDE/>
        <w:autoSpaceDN/>
        <w:bidi w:val="0"/>
        <w:spacing w:line="560" w:lineRule="exact"/>
        <w:ind w:firstLine="643" w:firstLineChars="200"/>
        <w:rPr>
          <w:rFonts w:ascii="仿宋_GB2312" w:eastAsia="仿宋_GB2312"/>
          <w:color w:val="auto"/>
          <w:sz w:val="32"/>
          <w:szCs w:val="32"/>
        </w:rPr>
      </w:pPr>
      <w:r>
        <w:rPr>
          <w:rFonts w:hint="eastAsia" w:ascii="仿宋_GB2312" w:eastAsia="仿宋_GB2312"/>
          <w:b/>
          <w:color w:val="auto"/>
          <w:sz w:val="32"/>
          <w:szCs w:val="32"/>
        </w:rPr>
        <w:t>完善工资宏观调控指导机制。</w:t>
      </w:r>
      <w:r>
        <w:rPr>
          <w:rFonts w:hint="eastAsia" w:ascii="仿宋_GB2312" w:eastAsia="仿宋_GB2312"/>
          <w:color w:val="auto"/>
          <w:sz w:val="32"/>
          <w:szCs w:val="32"/>
        </w:rPr>
        <w:t>健全工资指导线、企业薪酬调查和信息发布制度，适时发布企业工资指导线、职业薪酬信息和行业人工成本信息。开展企业人工成本监测，及时跟踪评估对企业生产经营的影响。积极开展以先进制造业、战略性新兴产业、现代服务业为重点的薪酬调查，开展以“粤菜师傅”“广东技工”“南粤家政”为主体的重点行业、重点工程专项薪酬水平调查，加强技能人才薪酬分配指引，形成公开发布、定向反馈与针对性指导相结合的信息服务体系，优化企业工资收入分配指导服务。完善国有企业市场化薪酬分配机制，建立健全按业绩贡献决定薪酬的有效激励约束机制，为城区经济发展、人才流动提供支持。</w:t>
      </w:r>
    </w:p>
    <w:bookmarkEnd w:id="75"/>
    <w:bookmarkEnd w:id="76"/>
    <w:bookmarkEnd w:id="77"/>
    <w:bookmarkEnd w:id="78"/>
    <w:bookmarkEnd w:id="79"/>
    <w:p>
      <w:pPr>
        <w:pStyle w:val="4"/>
        <w:keepNext w:val="0"/>
        <w:keepLines w:val="0"/>
        <w:pageBreakBefore w:val="0"/>
        <w:kinsoku/>
        <w:wordWrap/>
        <w:overflowPunct/>
        <w:topLinePunct w:val="0"/>
        <w:autoSpaceDE/>
        <w:autoSpaceDN/>
        <w:bidi w:val="0"/>
        <w:adjustRightInd w:val="0"/>
        <w:snapToGrid w:val="0"/>
        <w:spacing w:before="120" w:beforeLines="50" w:after="120" w:afterLines="50" w:line="560" w:lineRule="exact"/>
        <w:ind w:left="200"/>
        <w:jc w:val="center"/>
        <w:rPr>
          <w:rFonts w:ascii="Cambria" w:hAnsi="Cambria" w:eastAsia="楷体_GB2312"/>
          <w:color w:val="auto"/>
          <w:sz w:val="34"/>
        </w:rPr>
      </w:pPr>
      <w:bookmarkStart w:id="81" w:name="_Toc17579"/>
      <w:r>
        <w:rPr>
          <w:rFonts w:hint="eastAsia" w:ascii="Cambria" w:hAnsi="Cambria" w:eastAsia="楷体_GB2312"/>
          <w:color w:val="auto"/>
          <w:sz w:val="34"/>
        </w:rPr>
        <w:t>第三节   完善劳动人事争议调解仲载体制机制</w:t>
      </w:r>
      <w:bookmarkEnd w:id="81"/>
    </w:p>
    <w:p>
      <w:pPr>
        <w:keepLines w:val="0"/>
        <w:pageBreakBefore w:val="0"/>
        <w:kinsoku/>
        <w:wordWrap/>
        <w:overflowPunct/>
        <w:topLinePunct w:val="0"/>
        <w:autoSpaceDE/>
        <w:autoSpaceDN/>
        <w:bidi w:val="0"/>
        <w:adjustRightInd w:val="0"/>
        <w:spacing w:line="560" w:lineRule="exact"/>
        <w:ind w:firstLine="643" w:firstLineChars="200"/>
        <w:rPr>
          <w:rFonts w:ascii="仿宋_GB2312" w:eastAsia="仿宋_GB2312"/>
          <w:color w:val="auto"/>
          <w:sz w:val="32"/>
          <w:szCs w:val="32"/>
        </w:rPr>
      </w:pPr>
      <w:r>
        <w:rPr>
          <w:rFonts w:hint="eastAsia" w:ascii="仿宋_GB2312" w:eastAsia="仿宋_GB2312"/>
          <w:b/>
          <w:color w:val="auto"/>
          <w:sz w:val="32"/>
          <w:szCs w:val="32"/>
        </w:rPr>
        <w:t>完善争议多元化解机制。</w:t>
      </w:r>
      <w:r>
        <w:rPr>
          <w:rFonts w:hint="eastAsia" w:ascii="仿宋_GB2312" w:eastAsia="仿宋_GB2312"/>
          <w:color w:val="auto"/>
          <w:sz w:val="32"/>
          <w:szCs w:val="32"/>
        </w:rPr>
        <w:t>坚持预防为主、基层为主、调解为主的工作方针，指导推进“企业-行政村(社区)-乡镇(街道)”基层劳动人事争议调解工作体系建设，充分发挥人社部门处理劳动争议的职能作用，落实诉前调解及引导机制。推进“调调衔接”，完善人民调解、行政调解、仲裁调解、司法调解联动机制。推进“调裁衔接”，完善仲裁立案前调解、委托调解和调解协议仲裁审查确认制度。推进“调诉”衔接，统一裁审理念和标准，提高办案效能，维护劳动者合法权益。到2025年，劳动人事争议调解成功率达到</w:t>
      </w:r>
      <w:r>
        <w:rPr>
          <w:rFonts w:hint="eastAsia" w:ascii="仿宋_GB2312" w:eastAsia="仿宋_GB2312"/>
          <w:color w:val="auto"/>
          <w:sz w:val="32"/>
          <w:szCs w:val="32"/>
          <w:lang w:val="en-US" w:eastAsia="zh-CN"/>
        </w:rPr>
        <w:t>60</w:t>
      </w:r>
      <w:r>
        <w:rPr>
          <w:rFonts w:hint="eastAsia" w:ascii="仿宋_GB2312" w:eastAsia="仿宋_GB2312"/>
          <w:color w:val="auto"/>
          <w:sz w:val="32"/>
          <w:szCs w:val="32"/>
        </w:rPr>
        <w:t>%，劳动人事争议仲裁结案率达到</w:t>
      </w:r>
      <w:r>
        <w:rPr>
          <w:rFonts w:hint="eastAsia" w:ascii="仿宋_GB2312" w:eastAsia="仿宋_GB2312"/>
          <w:color w:val="auto"/>
          <w:sz w:val="32"/>
          <w:szCs w:val="32"/>
          <w:lang w:val="en-US" w:eastAsia="zh-CN"/>
        </w:rPr>
        <w:t>90</w:t>
      </w:r>
      <w:r>
        <w:rPr>
          <w:rFonts w:hint="eastAsia" w:ascii="仿宋_GB2312" w:eastAsia="仿宋_GB2312"/>
          <w:color w:val="auto"/>
          <w:sz w:val="32"/>
          <w:szCs w:val="32"/>
        </w:rPr>
        <w:t>%。加快设立区劳动人事争议调解中心，充分发挥人社部门处理劳动争议的职能作用，落实诉前调解及引导机制。推动落实政府向社会力量购买劳动争议专业性调解服务，创新劳动争议专业性调解公共服务供给机制。</w:t>
      </w:r>
    </w:p>
    <w:p>
      <w:pPr>
        <w:pStyle w:val="12"/>
        <w:keepLines w:val="0"/>
        <w:pageBreakBefore w:val="0"/>
        <w:kinsoku/>
        <w:wordWrap/>
        <w:overflowPunct/>
        <w:topLinePunct w:val="0"/>
        <w:autoSpaceDE/>
        <w:autoSpaceDN/>
        <w:bidi w:val="0"/>
        <w:spacing w:line="560" w:lineRule="exact"/>
        <w:ind w:firstLine="643"/>
        <w:rPr>
          <w:rFonts w:ascii="仿宋_GB2312" w:eastAsia="仿宋_GB2312"/>
          <w:color w:val="auto"/>
          <w:sz w:val="32"/>
          <w:szCs w:val="32"/>
        </w:rPr>
      </w:pPr>
      <w:r>
        <w:rPr>
          <w:rFonts w:hint="eastAsia" w:ascii="仿宋_GB2312" w:eastAsia="仿宋_GB2312"/>
          <w:b/>
          <w:color w:val="auto"/>
          <w:sz w:val="32"/>
          <w:szCs w:val="32"/>
        </w:rPr>
        <w:t>推进仲裁办案方式改革。</w:t>
      </w:r>
      <w:r>
        <w:rPr>
          <w:rFonts w:hint="eastAsia" w:ascii="仿宋_GB2312" w:eastAsia="仿宋_GB2312"/>
          <w:color w:val="auto"/>
          <w:sz w:val="32"/>
          <w:szCs w:val="32"/>
        </w:rPr>
        <w:t>完善仲裁准司法制度体系，创新办案机制，加强办案指导监督，提升仲裁终结率。实施案件分类处理，简化优化立案、庭审、送达等具体程序，推广要素式办案，完善仲裁专递机制。规范简易仲裁程序，灵活便捷处理小额简单争议案件，建立健全集体劳动争议快速仲裁特别程序。加强基层劳动争议预防调解，推进乡镇（街道）劳动纠纷多元化解机制全覆盖，做到大多数劳动纠纷就近就地首先在一线化解。加强仲裁机构队伍建设，多渠道充实仲裁办案人员队伍，保障仲裁庭组庭人员的基本要求，创新培训方式，完善职业保障机制。</w:t>
      </w:r>
    </w:p>
    <w:p>
      <w:pPr>
        <w:keepLines w:val="0"/>
        <w:pageBreakBefore w:val="0"/>
        <w:kinsoku/>
        <w:wordWrap/>
        <w:overflowPunct/>
        <w:topLinePunct w:val="0"/>
        <w:autoSpaceDE/>
        <w:autoSpaceDN/>
        <w:bidi w:val="0"/>
        <w:spacing w:line="560" w:lineRule="exact"/>
        <w:ind w:firstLine="643" w:firstLineChars="200"/>
        <w:rPr>
          <w:rFonts w:ascii="仿宋_GB2312" w:eastAsia="仿宋_GB2312"/>
          <w:color w:val="auto"/>
          <w:sz w:val="32"/>
          <w:szCs w:val="32"/>
        </w:rPr>
      </w:pPr>
      <w:r>
        <w:rPr>
          <w:rFonts w:hint="eastAsia" w:ascii="仿宋_GB2312" w:eastAsia="仿宋_GB2312"/>
          <w:b/>
          <w:color w:val="auto"/>
          <w:sz w:val="32"/>
          <w:szCs w:val="32"/>
        </w:rPr>
        <w:t>畅通仲裁“绿色通道”。</w:t>
      </w:r>
      <w:r>
        <w:rPr>
          <w:rFonts w:hint="eastAsia" w:ascii="仿宋_GB2312" w:eastAsia="仿宋_GB2312"/>
          <w:color w:val="auto"/>
          <w:sz w:val="32"/>
          <w:szCs w:val="32"/>
        </w:rPr>
        <w:t>依法快速处理因拖欠农民工工资等引发的劳动争议，提高仲裁终局比例，实现快立、快审、快结。充分发挥基层劳动争议调解等组织的作用，引导农民工就地就近解决工资争议。劳动人事争议仲裁机构对农民工因拖欠工资申请仲裁的争议案件优先受理、优先开庭、及时裁决、快速结案。对集体欠薪争议或涉及金额较大的欠薪争议案件要挂牌督办。实行阳光仲裁，逐步实行仲裁裁决书网上公开，接受社会监督。</w:t>
      </w:r>
    </w:p>
    <w:p>
      <w:pPr>
        <w:pStyle w:val="4"/>
        <w:keepNext w:val="0"/>
        <w:keepLines w:val="0"/>
        <w:pageBreakBefore w:val="0"/>
        <w:kinsoku/>
        <w:wordWrap/>
        <w:overflowPunct/>
        <w:topLinePunct w:val="0"/>
        <w:autoSpaceDE/>
        <w:autoSpaceDN/>
        <w:bidi w:val="0"/>
        <w:adjustRightInd w:val="0"/>
        <w:snapToGrid w:val="0"/>
        <w:spacing w:before="120" w:beforeLines="50" w:after="120" w:afterLines="50" w:line="560" w:lineRule="exact"/>
        <w:ind w:left="200"/>
        <w:jc w:val="center"/>
        <w:rPr>
          <w:rFonts w:ascii="Cambria" w:hAnsi="Cambria" w:eastAsia="楷体_GB2312"/>
          <w:color w:val="auto"/>
          <w:sz w:val="34"/>
        </w:rPr>
      </w:pPr>
      <w:bookmarkStart w:id="82" w:name="_Toc9243"/>
      <w:bookmarkStart w:id="83" w:name="_Toc20409"/>
      <w:bookmarkStart w:id="84" w:name="_Toc8275"/>
      <w:r>
        <w:rPr>
          <w:rFonts w:hint="eastAsia" w:ascii="Cambria" w:hAnsi="Cambria" w:eastAsia="楷体_GB2312"/>
          <w:color w:val="auto"/>
          <w:sz w:val="34"/>
        </w:rPr>
        <w:t>第四节  提高劳动保障监察治理效能</w:t>
      </w:r>
      <w:bookmarkEnd w:id="82"/>
      <w:bookmarkEnd w:id="83"/>
    </w:p>
    <w:bookmarkEnd w:id="84"/>
    <w:p>
      <w:pPr>
        <w:keepLines w:val="0"/>
        <w:pageBreakBefore w:val="0"/>
        <w:kinsoku/>
        <w:wordWrap/>
        <w:overflowPunct/>
        <w:topLinePunct w:val="0"/>
        <w:autoSpaceDE/>
        <w:autoSpaceDN/>
        <w:bidi w:val="0"/>
        <w:adjustRightInd w:val="0"/>
        <w:spacing w:line="560" w:lineRule="exact"/>
        <w:ind w:firstLine="643" w:firstLineChars="200"/>
        <w:rPr>
          <w:rFonts w:ascii="仿宋_GB2312" w:eastAsia="仿宋_GB2312"/>
          <w:color w:val="auto"/>
          <w:sz w:val="32"/>
          <w:szCs w:val="32"/>
        </w:rPr>
      </w:pPr>
      <w:r>
        <w:rPr>
          <w:rFonts w:hint="eastAsia" w:ascii="仿宋_GB2312" w:eastAsia="仿宋_GB2312"/>
          <w:b/>
          <w:color w:val="auto"/>
          <w:sz w:val="32"/>
          <w:szCs w:val="32"/>
        </w:rPr>
        <w:t>加大根治欠薪工作力度。</w:t>
      </w:r>
      <w:r>
        <w:rPr>
          <w:rFonts w:hint="eastAsia" w:ascii="仿宋_GB2312" w:eastAsia="仿宋_GB2312"/>
          <w:color w:val="auto"/>
          <w:sz w:val="32"/>
          <w:szCs w:val="32"/>
        </w:rPr>
        <w:t>严格按照上级部门对“根治欠薪”的统一部署， 坚持党委政府抓总、</w:t>
      </w:r>
      <w:r>
        <w:rPr>
          <w:rFonts w:hint="eastAsia" w:ascii="仿宋_GB2312" w:eastAsia="仿宋_GB2312"/>
          <w:color w:val="auto"/>
          <w:sz w:val="32"/>
          <w:szCs w:val="32"/>
          <w:lang w:eastAsia="zh-CN"/>
        </w:rPr>
        <w:t>各镇（街道）、</w:t>
      </w:r>
      <w:r>
        <w:rPr>
          <w:rFonts w:hint="eastAsia" w:ascii="仿宋_GB2312" w:eastAsia="仿宋_GB2312"/>
          <w:color w:val="auto"/>
          <w:sz w:val="32"/>
          <w:szCs w:val="32"/>
        </w:rPr>
        <w:t>各部门齐抓共管工作格局，健全</w:t>
      </w:r>
      <w:r>
        <w:rPr>
          <w:rFonts w:hint="eastAsia" w:ascii="仿宋_GB2312" w:eastAsia="仿宋_GB2312"/>
          <w:color w:val="auto"/>
          <w:sz w:val="32"/>
          <w:szCs w:val="32"/>
          <w:lang w:eastAsia="zh-CN"/>
        </w:rPr>
        <w:t>城区</w:t>
      </w:r>
      <w:r>
        <w:rPr>
          <w:rFonts w:hint="eastAsia" w:ascii="仿宋_GB2312" w:eastAsia="仿宋_GB2312"/>
          <w:color w:val="auto"/>
          <w:sz w:val="32"/>
          <w:szCs w:val="32"/>
        </w:rPr>
        <w:t>根治拖欠农民工工资工作领导小组工作机制。以工程建设领域和劳动密集型制造业等行业领域为重点，推动建筑领域实名制管理办法、工资专户管理和保证金制度在企业落实落地。继续加大重大劳动保障违法行为企业社会公布和纳入“黑名单”力度，会同行业主管部门联合惩戒。密切协同公安机关、检察院、法院等强化“两法衔接”打击恶意欠薪，推动完善快立、快捕、快诉、快审、快判机制。健全源头保障工资支付制度，在工程款拨付、工资专户管理、工资支付动态监控、欠薪应急救济保障等各个环节形成制度闭环管理。</w:t>
      </w:r>
    </w:p>
    <w:p>
      <w:pPr>
        <w:keepLines w:val="0"/>
        <w:pageBreakBefore w:val="0"/>
        <w:kinsoku/>
        <w:wordWrap/>
        <w:overflowPunct/>
        <w:topLinePunct w:val="0"/>
        <w:autoSpaceDE/>
        <w:autoSpaceDN/>
        <w:bidi w:val="0"/>
        <w:adjustRightInd w:val="0"/>
        <w:spacing w:line="560" w:lineRule="exact"/>
        <w:ind w:firstLine="643" w:firstLineChars="200"/>
        <w:rPr>
          <w:rFonts w:ascii="仿宋_GB2312" w:eastAsia="仿宋_GB2312"/>
          <w:color w:val="auto"/>
          <w:sz w:val="32"/>
          <w:szCs w:val="32"/>
        </w:rPr>
      </w:pPr>
      <w:r>
        <w:rPr>
          <w:rFonts w:hint="eastAsia" w:ascii="仿宋_GB2312" w:eastAsia="仿宋_GB2312"/>
          <w:b/>
          <w:color w:val="auto"/>
          <w:sz w:val="32"/>
          <w:szCs w:val="32"/>
        </w:rPr>
        <w:t>加强和创新劳资纠纷治理。</w:t>
      </w:r>
      <w:r>
        <w:rPr>
          <w:rFonts w:hint="eastAsia" w:ascii="仿宋_GB2312" w:eastAsia="仿宋_GB2312"/>
          <w:color w:val="auto"/>
          <w:sz w:val="32"/>
          <w:szCs w:val="32"/>
        </w:rPr>
        <w:t>完善党委领导、政府负责、民主协商、社会协同、公众参与、法治保障、科技支撑的劳资纠纷治理体系。构建基层劳资纠纷治理新格局，完善群众参与基层劳资纠纷治理的制度化渠道，推行网格化管理和服务，发挥群团组织、社会组织作用， 发挥行业协会商会自律功能，实现政府治理和社会调解、居民 自治良性互动。完善以职工代表大会为基本形式的企业民主管理制度，丰富职工民主参与形式，畅通职工民主参与渠道。强化劳资纠纷隐患排查风险预警，将矛盾隐患化解在苗头和萌芽。深入贯彻落实广东省劳资纠纷风险预警防范办法，联动研判企业经营异动信息，分级预警、跟踪化解。健全劳资纠纷群体性事件预防和应急处置机制，明确分级响应、处置程序和处置措施。健全群体性事件应急联动处置机制，及时妥善处置群体性事件。</w:t>
      </w:r>
    </w:p>
    <w:p>
      <w:pPr>
        <w:keepLines w:val="0"/>
        <w:pageBreakBefore w:val="0"/>
        <w:kinsoku/>
        <w:wordWrap/>
        <w:overflowPunct/>
        <w:topLinePunct w:val="0"/>
        <w:autoSpaceDE/>
        <w:autoSpaceDN/>
        <w:bidi w:val="0"/>
        <w:adjustRightInd w:val="0"/>
        <w:spacing w:line="560" w:lineRule="exact"/>
        <w:ind w:firstLine="643" w:firstLineChars="200"/>
        <w:rPr>
          <w:rFonts w:ascii="仿宋_GB2312" w:eastAsia="仿宋_GB2312"/>
          <w:color w:val="auto"/>
          <w:sz w:val="32"/>
          <w:szCs w:val="32"/>
        </w:rPr>
      </w:pPr>
      <w:r>
        <w:rPr>
          <w:rFonts w:hint="eastAsia" w:ascii="仿宋_GB2312" w:eastAsia="仿宋_GB2312"/>
          <w:b/>
          <w:color w:val="auto"/>
          <w:sz w:val="32"/>
          <w:szCs w:val="32"/>
        </w:rPr>
        <w:t>依法严厉打击劳</w:t>
      </w:r>
      <w:r>
        <w:rPr>
          <w:rFonts w:hint="eastAsia" w:ascii="仿宋_GB2312" w:eastAsia="仿宋_GB2312"/>
          <w:b/>
          <w:color w:val="auto"/>
          <w:sz w:val="32"/>
          <w:szCs w:val="32"/>
          <w:lang w:eastAsia="zh-CN"/>
        </w:rPr>
        <w:t>资领域</w:t>
      </w:r>
      <w:r>
        <w:rPr>
          <w:rFonts w:hint="eastAsia" w:ascii="仿宋_GB2312" w:eastAsia="仿宋_GB2312"/>
          <w:b/>
          <w:color w:val="auto"/>
          <w:sz w:val="32"/>
          <w:szCs w:val="32"/>
        </w:rPr>
        <w:t>违法行为。</w:t>
      </w:r>
      <w:r>
        <w:rPr>
          <w:rFonts w:hint="eastAsia" w:ascii="仿宋_GB2312" w:eastAsia="仿宋_GB2312"/>
          <w:color w:val="auto"/>
          <w:sz w:val="32"/>
          <w:szCs w:val="32"/>
        </w:rPr>
        <w:t>创新劳动监察执法方式，实现监察执法向主动预防和统筹城乡转变。畅通劳动者多元维权渠道，进一步加强劳动监察电话、网络投诉平台，完善区、镇劳动监察举报投诉“绿色通道”制度建设。强化保障工资支付、清理整顿人力资源市场秩序、劳动用工和社会保险专项执法。加大对非法用工查处力度，严厉打击使用童工、强迫劳动、拒不支付劳动报酬等违法犯罪行为。加强劳动保障诚信等级评价制度建设，建立健全企业诚信档案。健全劳动监察执法监督和重大案件督查督办制度，落实劳动保障监察执法“双随机一公开”制度。</w:t>
      </w:r>
    </w:p>
    <w:p>
      <w:pPr>
        <w:keepLines w:val="0"/>
        <w:pageBreakBefore w:val="0"/>
        <w:kinsoku/>
        <w:wordWrap/>
        <w:overflowPunct/>
        <w:topLinePunct w:val="0"/>
        <w:autoSpaceDE/>
        <w:autoSpaceDN/>
        <w:bidi w:val="0"/>
        <w:adjustRightInd w:val="0"/>
        <w:spacing w:line="560" w:lineRule="exact"/>
        <w:ind w:firstLine="643" w:firstLineChars="200"/>
        <w:rPr>
          <w:rFonts w:ascii="仿宋_GB2312" w:eastAsia="仿宋_GB2312"/>
          <w:color w:val="auto"/>
          <w:sz w:val="32"/>
          <w:szCs w:val="32"/>
        </w:rPr>
      </w:pPr>
      <w:r>
        <w:rPr>
          <w:rFonts w:hint="eastAsia" w:ascii="仿宋_GB2312" w:eastAsia="仿宋_GB2312"/>
          <w:b/>
          <w:color w:val="auto"/>
          <w:sz w:val="32"/>
          <w:szCs w:val="32"/>
        </w:rPr>
        <w:t>加强劳动保障监察基础能力建设。</w:t>
      </w:r>
      <w:r>
        <w:rPr>
          <w:rFonts w:hint="eastAsia" w:ascii="仿宋_GB2312" w:eastAsia="仿宋_GB2312"/>
          <w:color w:val="auto"/>
          <w:sz w:val="32"/>
          <w:szCs w:val="32"/>
        </w:rPr>
        <w:t>完善劳动监察综合执法队伍建设，配齐、配足劳动监察执法人员，推动基层（镇街）劳动保障监察执法辅助人员建设。推动地方政府建立农民工工资支付监控预警平台，实现人社、发改、财政、住建</w:t>
      </w:r>
      <w:r>
        <w:rPr>
          <w:rFonts w:hint="eastAsia" w:ascii="仿宋_GB2312" w:eastAsia="仿宋_GB2312"/>
          <w:color w:val="auto"/>
          <w:sz w:val="32"/>
          <w:szCs w:val="32"/>
          <w:lang w:eastAsia="zh-CN"/>
        </w:rPr>
        <w:t>（</w:t>
      </w:r>
      <w:r>
        <w:rPr>
          <w:rFonts w:hint="eastAsia" w:ascii="仿宋_GB2312" w:eastAsia="仿宋_GB2312"/>
          <w:color w:val="auto"/>
          <w:sz w:val="32"/>
          <w:szCs w:val="32"/>
        </w:rPr>
        <w:t>交通</w:t>
      </w:r>
      <w:r>
        <w:rPr>
          <w:rFonts w:hint="eastAsia" w:ascii="仿宋_GB2312" w:eastAsia="仿宋_GB2312"/>
          <w:color w:val="auto"/>
          <w:sz w:val="32"/>
          <w:szCs w:val="32"/>
          <w:lang w:eastAsia="zh-CN"/>
        </w:rPr>
        <w:t>）</w:t>
      </w:r>
      <w:r>
        <w:rPr>
          <w:rFonts w:hint="eastAsia" w:ascii="仿宋_GB2312" w:eastAsia="仿宋_GB2312"/>
          <w:color w:val="auto"/>
          <w:sz w:val="32"/>
          <w:szCs w:val="32"/>
        </w:rPr>
        <w:t>、水利等部门的工程项目审批、资金落实、施工许可、劳动用工、工资支付等数据，对监管信息和企业经营相关指标变化情况进行风险监测。依托欠薪联合预警平台，通过“大数据”自动分析，抓取关键信息，将欠薪隐患的企业及时预警通报给相关部门，以便相关部门及时发现问题，从源头杜绝欠薪的发生，维护社会的安全稳定。大力提升基层执法人员素质，加强基层执法人员岗位业务能力培训，提升劳动监察执法规范化、专业化水平。</w:t>
      </w:r>
    </w:p>
    <w:p>
      <w:pPr>
        <w:keepLines w:val="0"/>
        <w:pageBreakBefore w:val="0"/>
        <w:kinsoku/>
        <w:wordWrap/>
        <w:overflowPunct/>
        <w:topLinePunct w:val="0"/>
        <w:autoSpaceDE/>
        <w:autoSpaceDN/>
        <w:bidi w:val="0"/>
        <w:adjustRightInd w:val="0"/>
        <w:spacing w:line="560" w:lineRule="exact"/>
        <w:ind w:firstLine="643" w:firstLineChars="200"/>
        <w:rPr>
          <w:rFonts w:hint="eastAsia" w:ascii="仿宋_GB2312" w:eastAsia="仿宋_GB2312"/>
          <w:color w:val="auto"/>
          <w:sz w:val="32"/>
          <w:szCs w:val="32"/>
        </w:rPr>
      </w:pPr>
      <w:r>
        <w:rPr>
          <w:rFonts w:hint="eastAsia" w:ascii="仿宋_GB2312" w:eastAsia="仿宋_GB2312"/>
          <w:b/>
          <w:color w:val="auto"/>
          <w:sz w:val="32"/>
          <w:szCs w:val="32"/>
        </w:rPr>
        <w:t>加大劳动法律法规宣传力度，增强劳资双方守法意识。</w:t>
      </w:r>
      <w:r>
        <w:rPr>
          <w:rFonts w:hint="eastAsia" w:ascii="仿宋_GB2312" w:eastAsia="仿宋_GB2312"/>
          <w:color w:val="auto"/>
          <w:sz w:val="32"/>
          <w:szCs w:val="32"/>
        </w:rPr>
        <w:t>对辖区内的用人单位加强劳动法制教育和宣传，加大电视广播、报纸、户外LED显示屏、区政府网站、今日城区微信公众号宣传力度，大力普及用人单位尤其是企业经营者的劳动保障法律知识，不断提高用人单位的法律意识和守法的自觉性，不断提高劳动者的劳动法律知识水平和自我保护意识。引导、帮助用人单位和劳动者通过法律途径解决矛盾和纠纷，避免和减少集体上访、投诉的发生。</w:t>
      </w:r>
    </w:p>
    <w:p>
      <w:pPr>
        <w:pStyle w:val="2"/>
        <w:rPr>
          <w:rFonts w:hint="eastAsia" w:ascii="仿宋_GB2312" w:eastAsia="仿宋_GB2312"/>
          <w:color w:val="auto"/>
          <w:sz w:val="32"/>
          <w:szCs w:val="32"/>
        </w:rPr>
      </w:pPr>
    </w:p>
    <w:p>
      <w:pPr>
        <w:rPr>
          <w:rFonts w:hint="eastAsia" w:ascii="仿宋_GB2312" w:eastAsia="仿宋_GB2312"/>
          <w:color w:val="auto"/>
          <w:sz w:val="32"/>
          <w:szCs w:val="32"/>
        </w:rPr>
      </w:pPr>
    </w:p>
    <w:p>
      <w:pPr>
        <w:pStyle w:val="2"/>
        <w:rPr>
          <w:rFonts w:hint="eastAsia" w:ascii="仿宋_GB2312" w:eastAsia="仿宋_GB2312"/>
          <w:color w:val="auto"/>
          <w:sz w:val="32"/>
          <w:szCs w:val="32"/>
        </w:rPr>
      </w:pPr>
    </w:p>
    <w:p>
      <w:pPr>
        <w:rPr>
          <w:rFonts w:hint="eastAsia" w:ascii="仿宋_GB2312" w:eastAsia="仿宋_GB2312"/>
          <w:color w:val="auto"/>
          <w:sz w:val="32"/>
          <w:szCs w:val="32"/>
        </w:rPr>
      </w:pPr>
    </w:p>
    <w:p>
      <w:pPr>
        <w:pStyle w:val="2"/>
        <w:rPr>
          <w:rFonts w:hint="eastAsia" w:ascii="仿宋_GB2312" w:eastAsia="仿宋_GB2312"/>
          <w:color w:val="auto"/>
          <w:sz w:val="32"/>
          <w:szCs w:val="32"/>
        </w:rPr>
      </w:pPr>
    </w:p>
    <w:p>
      <w:pPr>
        <w:rPr>
          <w:rFonts w:hint="eastAsia" w:ascii="仿宋_GB2312" w:eastAsia="仿宋_GB2312"/>
          <w:color w:val="auto"/>
          <w:sz w:val="32"/>
          <w:szCs w:val="32"/>
        </w:rPr>
      </w:pPr>
    </w:p>
    <w:p>
      <w:pPr>
        <w:pStyle w:val="2"/>
        <w:rPr>
          <w:rFonts w:hint="eastAsia" w:ascii="仿宋_GB2312" w:eastAsia="仿宋_GB2312"/>
          <w:color w:val="auto"/>
          <w:sz w:val="32"/>
          <w:szCs w:val="32"/>
        </w:rPr>
      </w:pPr>
    </w:p>
    <w:p>
      <w:pPr>
        <w:rPr>
          <w:rFonts w:hint="eastAsia" w:ascii="仿宋_GB2312" w:eastAsia="仿宋_GB2312"/>
          <w:color w:val="auto"/>
          <w:sz w:val="32"/>
          <w:szCs w:val="32"/>
        </w:rPr>
      </w:pPr>
    </w:p>
    <w:p>
      <w:pPr>
        <w:pStyle w:val="2"/>
        <w:rPr>
          <w:rFonts w:hint="eastAsia" w:ascii="仿宋_GB2312" w:eastAsia="仿宋_GB2312"/>
          <w:color w:val="auto"/>
          <w:sz w:val="32"/>
          <w:szCs w:val="32"/>
        </w:rPr>
      </w:pPr>
    </w:p>
    <w:p>
      <w:pPr>
        <w:rPr>
          <w:rFonts w:hint="eastAsia" w:ascii="仿宋_GB2312" w:eastAsia="仿宋_GB2312"/>
          <w:color w:val="auto"/>
          <w:sz w:val="32"/>
          <w:szCs w:val="32"/>
        </w:rPr>
      </w:pPr>
    </w:p>
    <w:p>
      <w:pPr>
        <w:pStyle w:val="2"/>
        <w:rPr>
          <w:rFonts w:hint="eastAsia" w:ascii="仿宋_GB2312" w:eastAsia="仿宋_GB2312"/>
          <w:color w:val="auto"/>
          <w:sz w:val="32"/>
          <w:szCs w:val="32"/>
        </w:rPr>
      </w:pPr>
    </w:p>
    <w:p>
      <w:pPr>
        <w:rPr>
          <w:rFonts w:hint="eastAsia" w:ascii="仿宋_GB2312" w:eastAsia="仿宋_GB2312"/>
          <w:color w:val="auto"/>
          <w:sz w:val="32"/>
          <w:szCs w:val="32"/>
        </w:rPr>
      </w:pPr>
    </w:p>
    <w:p>
      <w:pPr>
        <w:pStyle w:val="2"/>
        <w:rPr>
          <w:rFonts w:hint="eastAsia" w:ascii="仿宋_GB2312" w:eastAsia="仿宋_GB2312"/>
          <w:color w:val="auto"/>
          <w:sz w:val="32"/>
          <w:szCs w:val="32"/>
        </w:rPr>
      </w:pPr>
    </w:p>
    <w:p>
      <w:pPr>
        <w:rPr>
          <w:rFonts w:hint="eastAsia" w:ascii="仿宋_GB2312" w:eastAsia="仿宋_GB2312"/>
          <w:color w:val="auto"/>
          <w:sz w:val="32"/>
          <w:szCs w:val="32"/>
        </w:rPr>
      </w:pPr>
    </w:p>
    <w:p>
      <w:pPr>
        <w:pStyle w:val="2"/>
        <w:rPr>
          <w:rFonts w:hint="eastAsia" w:ascii="仿宋_GB2312" w:eastAsia="仿宋_GB2312"/>
          <w:color w:val="auto"/>
          <w:sz w:val="32"/>
          <w:szCs w:val="32"/>
        </w:rPr>
      </w:pPr>
    </w:p>
    <w:p>
      <w:pPr>
        <w:rPr>
          <w:rFonts w:hint="eastAsia" w:ascii="仿宋_GB2312" w:eastAsia="仿宋_GB2312"/>
          <w:color w:val="auto"/>
          <w:sz w:val="32"/>
          <w:szCs w:val="32"/>
        </w:rPr>
      </w:pPr>
    </w:p>
    <w:p>
      <w:pPr>
        <w:pStyle w:val="2"/>
        <w:rPr>
          <w:rFonts w:hint="eastAsia" w:ascii="仿宋_GB2312" w:eastAsia="仿宋_GB2312"/>
          <w:color w:val="auto"/>
          <w:sz w:val="32"/>
          <w:szCs w:val="32"/>
        </w:rPr>
      </w:pPr>
    </w:p>
    <w:p>
      <w:pPr>
        <w:rPr>
          <w:rFonts w:hint="eastAsia" w:ascii="仿宋_GB2312" w:eastAsia="仿宋_GB2312"/>
          <w:color w:val="auto"/>
          <w:sz w:val="32"/>
          <w:szCs w:val="32"/>
        </w:rPr>
      </w:pPr>
    </w:p>
    <w:p>
      <w:pPr>
        <w:pStyle w:val="2"/>
        <w:rPr>
          <w:rFonts w:hint="eastAsia" w:ascii="仿宋_GB2312" w:eastAsia="仿宋_GB2312"/>
          <w:color w:val="auto"/>
          <w:sz w:val="32"/>
          <w:szCs w:val="32"/>
        </w:rPr>
      </w:pPr>
    </w:p>
    <w:p>
      <w:pPr>
        <w:rPr>
          <w:rFonts w:hint="eastAsia" w:ascii="仿宋_GB2312" w:eastAsia="仿宋_GB2312"/>
          <w:color w:val="auto"/>
          <w:sz w:val="32"/>
          <w:szCs w:val="32"/>
        </w:rPr>
      </w:pPr>
    </w:p>
    <w:p>
      <w:pPr>
        <w:pStyle w:val="2"/>
        <w:rPr>
          <w:rFonts w:hint="eastAsia" w:ascii="仿宋_GB2312" w:eastAsia="仿宋_GB2312"/>
          <w:color w:val="auto"/>
          <w:sz w:val="32"/>
          <w:szCs w:val="32"/>
        </w:rPr>
      </w:pPr>
    </w:p>
    <w:p>
      <w:pPr>
        <w:rPr>
          <w:rFonts w:hint="eastAsia"/>
        </w:rPr>
      </w:pPr>
    </w:p>
    <w:p>
      <w:pPr>
        <w:pStyle w:val="2"/>
        <w:rPr>
          <w:rFonts w:hint="eastAsia"/>
        </w:rPr>
      </w:pPr>
    </w:p>
    <w:p>
      <w:pPr>
        <w:pStyle w:val="12"/>
      </w:pPr>
    </w:p>
    <w:bookmarkEnd w:id="73"/>
    <w:p>
      <w:pPr>
        <w:pStyle w:val="3"/>
        <w:keepLines w:val="0"/>
        <w:pageBreakBefore w:val="0"/>
        <w:numPr>
          <w:ilvl w:val="0"/>
          <w:numId w:val="2"/>
        </w:numPr>
        <w:kinsoku/>
        <w:wordWrap/>
        <w:overflowPunct/>
        <w:topLinePunct w:val="0"/>
        <w:autoSpaceDE/>
        <w:autoSpaceDN/>
        <w:bidi w:val="0"/>
        <w:adjustRightInd w:val="0"/>
        <w:snapToGrid w:val="0"/>
        <w:spacing w:before="120" w:beforeLines="50" w:after="120" w:afterLines="50" w:line="560" w:lineRule="exact"/>
        <w:jc w:val="center"/>
        <w:rPr>
          <w:rFonts w:hint="eastAsia" w:ascii="Calibri" w:hAnsi="Calibri" w:eastAsia="黑体"/>
          <w:sz w:val="44"/>
          <w:szCs w:val="44"/>
          <w:lang w:val="en-US" w:eastAsia="zh-CN"/>
        </w:rPr>
      </w:pPr>
      <w:bookmarkStart w:id="85" w:name="_Toc7933"/>
      <w:bookmarkStart w:id="86" w:name="_Toc7342"/>
      <w:r>
        <w:rPr>
          <w:rFonts w:hint="eastAsia" w:ascii="Calibri" w:hAnsi="Calibri" w:eastAsia="黑体"/>
          <w:sz w:val="44"/>
          <w:szCs w:val="44"/>
          <w:lang w:val="en-US" w:eastAsia="zh-CN"/>
        </w:rPr>
        <w:t xml:space="preserve"> </w:t>
      </w:r>
      <w:bookmarkStart w:id="87" w:name="_Toc17965"/>
      <w:r>
        <w:rPr>
          <w:rFonts w:hint="eastAsia" w:ascii="Calibri" w:hAnsi="Calibri" w:eastAsia="黑体"/>
          <w:sz w:val="44"/>
          <w:szCs w:val="44"/>
          <w:lang w:val="en-US" w:eastAsia="zh-CN"/>
        </w:rPr>
        <w:t>提升公共服务能力和水平</w:t>
      </w:r>
      <w:bookmarkEnd w:id="85"/>
      <w:bookmarkEnd w:id="87"/>
    </w:p>
    <w:p>
      <w:pPr>
        <w:numPr>
          <w:ilvl w:val="0"/>
          <w:numId w:val="0"/>
        </w:numPr>
        <w:rPr>
          <w:lang w:val="en-US" w:eastAsia="zh-CN"/>
        </w:rPr>
      </w:pPr>
    </w:p>
    <w:bookmarkEnd w:id="86"/>
    <w:p>
      <w:pPr>
        <w:keepNext w:val="0"/>
        <w:keepLines w:val="0"/>
        <w:pageBreakBefore w:val="0"/>
        <w:widowControl w:val="0"/>
        <w:kinsoku/>
        <w:wordWrap/>
        <w:overflowPunct/>
        <w:topLinePunct w:val="0"/>
        <w:autoSpaceDE/>
        <w:autoSpaceDN/>
        <w:bidi w:val="0"/>
        <w:adjustRightInd w:val="0"/>
        <w:spacing w:line="620" w:lineRule="exact"/>
        <w:ind w:firstLine="640" w:firstLineChars="200"/>
        <w:textAlignment w:val="auto"/>
        <w:rPr>
          <w:rFonts w:ascii="仿宋_GB2312" w:eastAsia="仿宋_GB2312"/>
          <w:color w:val="auto"/>
          <w:sz w:val="32"/>
          <w:szCs w:val="32"/>
          <w:highlight w:val="none"/>
        </w:rPr>
      </w:pPr>
      <w:bookmarkStart w:id="88" w:name="_Toc29186"/>
      <w:bookmarkStart w:id="89" w:name="_Toc391"/>
      <w:bookmarkStart w:id="90" w:name="_Toc23069"/>
      <w:bookmarkStart w:id="91" w:name="_Toc21584"/>
      <w:bookmarkStart w:id="92" w:name="_Toc31946"/>
      <w:r>
        <w:rPr>
          <w:rFonts w:hint="eastAsia" w:ascii="仿宋_GB2312" w:eastAsia="仿宋_GB2312"/>
          <w:color w:val="auto"/>
          <w:sz w:val="32"/>
          <w:szCs w:val="32"/>
          <w:highlight w:val="none"/>
        </w:rPr>
        <w:t>加强法治人社建设，</w:t>
      </w:r>
      <w:r>
        <w:rPr>
          <w:rFonts w:hint="eastAsia" w:ascii="仿宋_GB2312" w:eastAsia="仿宋_GB2312"/>
          <w:color w:val="auto"/>
          <w:sz w:val="32"/>
          <w:szCs w:val="32"/>
          <w:highlight w:val="none"/>
          <w:lang w:val="en-US" w:eastAsia="zh-CN"/>
        </w:rPr>
        <w:t>聚焦“阳光人社、和谐人社、高效人社、便民人社”，</w:t>
      </w:r>
      <w:r>
        <w:rPr>
          <w:rFonts w:hint="eastAsia" w:ascii="仿宋_GB2312" w:eastAsia="仿宋_GB2312"/>
          <w:color w:val="auto"/>
          <w:sz w:val="32"/>
          <w:szCs w:val="32"/>
          <w:highlight w:val="none"/>
        </w:rPr>
        <w:t>强化行风建设效能，坚持普惠性、保基本、均等化、可持续方向，围绕标准化、一体化、信息化，加强公共服务设施建设，强化公共服务能力，提升公共服务水平，为群众提供更加方便快捷、优质高效的人力资源社会保障基本公共服务。</w:t>
      </w:r>
    </w:p>
    <w:p>
      <w:pPr>
        <w:pStyle w:val="2"/>
        <w:rPr>
          <w:rFonts w:hint="eastAsia"/>
        </w:rPr>
      </w:pPr>
    </w:p>
    <w:p>
      <w:pPr>
        <w:pStyle w:val="4"/>
        <w:keepNext w:val="0"/>
        <w:keepLines w:val="0"/>
        <w:pageBreakBefore w:val="0"/>
        <w:kinsoku/>
        <w:wordWrap/>
        <w:overflowPunct/>
        <w:topLinePunct w:val="0"/>
        <w:autoSpaceDE/>
        <w:autoSpaceDN/>
        <w:bidi w:val="0"/>
        <w:adjustRightInd w:val="0"/>
        <w:snapToGrid w:val="0"/>
        <w:spacing w:before="120" w:beforeLines="50" w:after="120" w:afterLines="50" w:line="560" w:lineRule="exact"/>
        <w:ind w:left="200"/>
        <w:jc w:val="center"/>
        <w:rPr>
          <w:rFonts w:ascii="Cambria" w:hAnsi="Cambria" w:eastAsia="楷体_GB2312"/>
          <w:color w:val="000000"/>
          <w:sz w:val="34"/>
        </w:rPr>
      </w:pPr>
      <w:bookmarkStart w:id="93" w:name="_Toc18473"/>
      <w:r>
        <w:rPr>
          <w:rFonts w:hint="eastAsia" w:ascii="Cambria" w:hAnsi="Cambria" w:eastAsia="楷体_GB2312"/>
          <w:color w:val="000000"/>
          <w:sz w:val="34"/>
        </w:rPr>
        <w:t>第一节  强化法治人社建设</w:t>
      </w:r>
      <w:bookmarkEnd w:id="88"/>
      <w:bookmarkEnd w:id="89"/>
      <w:bookmarkEnd w:id="90"/>
      <w:bookmarkEnd w:id="91"/>
      <w:bookmarkEnd w:id="93"/>
    </w:p>
    <w:p>
      <w:pPr>
        <w:keepLines w:val="0"/>
        <w:pageBreakBefore w:val="0"/>
        <w:kinsoku/>
        <w:wordWrap/>
        <w:overflowPunct/>
        <w:topLinePunct w:val="0"/>
        <w:autoSpaceDE/>
        <w:autoSpaceDN/>
        <w:bidi w:val="0"/>
        <w:adjustRightInd w:val="0"/>
        <w:spacing w:line="560" w:lineRule="exact"/>
        <w:ind w:firstLine="643" w:firstLineChars="200"/>
        <w:rPr>
          <w:rFonts w:ascii="仿宋_GB2312" w:eastAsia="仿宋_GB2312"/>
          <w:color w:val="auto"/>
          <w:sz w:val="32"/>
          <w:szCs w:val="32"/>
        </w:rPr>
      </w:pPr>
      <w:r>
        <w:rPr>
          <w:rFonts w:hint="eastAsia" w:ascii="仿宋_GB2312" w:eastAsia="仿宋_GB2312"/>
          <w:b/>
          <w:bCs w:val="0"/>
          <w:color w:val="auto"/>
          <w:sz w:val="32"/>
          <w:szCs w:val="32"/>
        </w:rPr>
        <w:t>完善法治人社制度体系。</w:t>
      </w:r>
      <w:r>
        <w:rPr>
          <w:rFonts w:hint="eastAsia" w:ascii="仿宋_GB2312" w:eastAsia="仿宋_GB2312"/>
          <w:color w:val="auto"/>
          <w:sz w:val="32"/>
          <w:szCs w:val="32"/>
        </w:rPr>
        <w:t>推进党政主要负责人切实履行推进法治建设第一责任人责任。全面贯彻实施人力资源社会保障法律法规规章，加强规范性文件管理。健全依法行政制度体系，健全依法决策机制，落实权力清单和责任清单制度，促进行政权力依法规范公开运行。推进行政执法责任制，强化人社重点领域执法，严格规范行政执法裁量权，加强行政执法人员监管，促进严格规范公正文明执法。</w:t>
      </w:r>
    </w:p>
    <w:p>
      <w:pPr>
        <w:keepLines w:val="0"/>
        <w:pageBreakBefore w:val="0"/>
        <w:kinsoku/>
        <w:wordWrap/>
        <w:overflowPunct/>
        <w:topLinePunct w:val="0"/>
        <w:autoSpaceDE/>
        <w:autoSpaceDN/>
        <w:bidi w:val="0"/>
        <w:adjustRightInd w:val="0"/>
        <w:spacing w:line="560" w:lineRule="exact"/>
        <w:ind w:firstLine="643" w:firstLineChars="200"/>
        <w:rPr>
          <w:rFonts w:ascii="仿宋_GB2312" w:eastAsia="仿宋_GB2312"/>
          <w:color w:val="auto"/>
          <w:sz w:val="32"/>
          <w:szCs w:val="32"/>
        </w:rPr>
      </w:pPr>
      <w:r>
        <w:rPr>
          <w:rFonts w:hint="eastAsia" w:ascii="仿宋_GB2312" w:eastAsia="仿宋_GB2312"/>
          <w:b/>
          <w:sz w:val="32"/>
          <w:szCs w:val="32"/>
        </w:rPr>
        <w:t>推动“八五”人社普法规划的实施。</w:t>
      </w:r>
      <w:r>
        <w:rPr>
          <w:rFonts w:hint="eastAsia" w:ascii="仿宋" w:hAnsi="仿宋" w:eastAsia="仿宋" w:cs="仿宋"/>
          <w:b w:val="0"/>
          <w:bCs/>
          <w:color w:val="auto"/>
          <w:kern w:val="2"/>
          <w:sz w:val="32"/>
          <w:szCs w:val="32"/>
          <w:lang w:val="en-US" w:eastAsia="zh-CN" w:bidi="ar-SA"/>
        </w:rPr>
        <w:t>按照法治政府等建设要求，立足城区实际，扎实</w:t>
      </w:r>
      <w:r>
        <w:rPr>
          <w:rFonts w:hint="eastAsia" w:ascii="仿宋" w:hAnsi="仿宋" w:eastAsia="仿宋" w:cs="仿宋"/>
          <w:bCs/>
          <w:color w:val="auto"/>
          <w:kern w:val="2"/>
          <w:sz w:val="32"/>
          <w:szCs w:val="32"/>
          <w:lang w:val="en-US" w:eastAsia="zh-CN" w:bidi="ar-SA"/>
        </w:rPr>
        <w:t>加强系统内部和面向全社会的法治宣传教育工作，</w:t>
      </w:r>
      <w:r>
        <w:rPr>
          <w:rFonts w:hint="eastAsia" w:ascii="仿宋_GB2312" w:eastAsia="仿宋_GB2312"/>
          <w:color w:val="auto"/>
          <w:sz w:val="32"/>
          <w:szCs w:val="32"/>
        </w:rPr>
        <w:t>完善普法责任清单，强化普法责任，扩大普法宣传成效；强化普法宣传典型，推动普法宣传制度化、规范化建设。</w:t>
      </w:r>
      <w:r>
        <w:rPr>
          <w:rFonts w:hint="eastAsia" w:ascii="仿宋" w:hAnsi="仿宋" w:eastAsia="仿宋" w:cs="仿宋"/>
          <w:bCs/>
          <w:color w:val="auto"/>
          <w:kern w:val="2"/>
          <w:sz w:val="32"/>
          <w:szCs w:val="32"/>
          <w:lang w:val="en-US" w:eastAsia="zh-CN" w:bidi="ar-SA"/>
        </w:rPr>
        <w:t>着力在系统内部普遍形成学法、用法、尊法、守法的工作氛围。落实</w:t>
      </w:r>
      <w:r>
        <w:rPr>
          <w:rFonts w:hint="default" w:ascii="仿宋" w:hAnsi="仿宋" w:eastAsia="仿宋" w:cs="仿宋"/>
          <w:bCs/>
          <w:color w:val="auto"/>
          <w:kern w:val="2"/>
          <w:sz w:val="32"/>
          <w:szCs w:val="32"/>
          <w:lang w:val="en-US" w:eastAsia="zh-CN" w:bidi="ar-SA"/>
        </w:rPr>
        <w:t>“谁执法谁普法”责任制，引导和帮助服务对象运用法律手段维护自身合法权力，努力在全社会</w:t>
      </w:r>
      <w:r>
        <w:rPr>
          <w:rFonts w:hint="eastAsia" w:ascii="仿宋" w:hAnsi="仿宋" w:eastAsia="仿宋" w:cs="仿宋"/>
          <w:bCs/>
          <w:color w:val="auto"/>
          <w:kern w:val="2"/>
          <w:sz w:val="32"/>
          <w:szCs w:val="32"/>
          <w:lang w:val="en-US" w:eastAsia="zh-CN" w:bidi="ar-SA"/>
        </w:rPr>
        <w:t>营造</w:t>
      </w:r>
      <w:r>
        <w:rPr>
          <w:rFonts w:hint="default" w:ascii="仿宋" w:hAnsi="仿宋" w:eastAsia="仿宋" w:cs="仿宋"/>
          <w:bCs/>
          <w:color w:val="auto"/>
          <w:kern w:val="2"/>
          <w:sz w:val="32"/>
          <w:szCs w:val="32"/>
          <w:lang w:val="en-US" w:eastAsia="zh-CN" w:bidi="ar-SA"/>
        </w:rPr>
        <w:t>良好的</w:t>
      </w:r>
      <w:r>
        <w:rPr>
          <w:rFonts w:hint="eastAsia" w:ascii="仿宋" w:hAnsi="仿宋" w:eastAsia="仿宋" w:cs="仿宋"/>
          <w:bCs/>
          <w:color w:val="auto"/>
          <w:kern w:val="2"/>
          <w:sz w:val="32"/>
          <w:szCs w:val="32"/>
          <w:lang w:val="en-US" w:eastAsia="zh-CN" w:bidi="ar-SA"/>
        </w:rPr>
        <w:t>法治营商</w:t>
      </w:r>
      <w:r>
        <w:rPr>
          <w:rFonts w:hint="default" w:ascii="仿宋" w:hAnsi="仿宋" w:eastAsia="仿宋" w:cs="仿宋"/>
          <w:bCs/>
          <w:color w:val="auto"/>
          <w:kern w:val="2"/>
          <w:sz w:val="32"/>
          <w:szCs w:val="32"/>
          <w:lang w:val="en-US" w:eastAsia="zh-CN" w:bidi="ar-SA"/>
        </w:rPr>
        <w:t>环境</w:t>
      </w:r>
      <w:r>
        <w:rPr>
          <w:rFonts w:hint="eastAsia" w:ascii="仿宋" w:hAnsi="仿宋" w:eastAsia="仿宋" w:cs="仿宋"/>
          <w:bCs/>
          <w:color w:val="auto"/>
          <w:kern w:val="2"/>
          <w:sz w:val="32"/>
          <w:szCs w:val="32"/>
          <w:lang w:val="en-US" w:eastAsia="zh-CN" w:bidi="ar-SA"/>
        </w:rPr>
        <w:t>，</w:t>
      </w:r>
      <w:r>
        <w:rPr>
          <w:rFonts w:hint="eastAsia" w:ascii="仿宋" w:hAnsi="仿宋" w:eastAsia="仿宋" w:cs="仿宋"/>
          <w:b w:val="0"/>
          <w:bCs/>
          <w:color w:val="auto"/>
          <w:kern w:val="2"/>
          <w:sz w:val="32"/>
          <w:szCs w:val="32"/>
          <w:lang w:val="en-US" w:eastAsia="zh-CN" w:bidi="ar-SA"/>
        </w:rPr>
        <w:t>推进法治城区的各项建设</w:t>
      </w:r>
      <w:r>
        <w:rPr>
          <w:rFonts w:hint="default" w:ascii="仿宋" w:hAnsi="仿宋" w:eastAsia="仿宋" w:cs="仿宋"/>
          <w:bCs/>
          <w:color w:val="auto"/>
          <w:kern w:val="2"/>
          <w:sz w:val="32"/>
          <w:szCs w:val="32"/>
          <w:lang w:val="en-US" w:eastAsia="zh-CN" w:bidi="ar-SA"/>
        </w:rPr>
        <w:t>。</w:t>
      </w:r>
    </w:p>
    <w:p>
      <w:pPr>
        <w:keepLines w:val="0"/>
        <w:pageBreakBefore w:val="0"/>
        <w:kinsoku/>
        <w:wordWrap/>
        <w:overflowPunct/>
        <w:topLinePunct w:val="0"/>
        <w:autoSpaceDE/>
        <w:autoSpaceDN/>
        <w:bidi w:val="0"/>
        <w:adjustRightInd w:val="0"/>
        <w:spacing w:line="560" w:lineRule="exact"/>
        <w:ind w:firstLine="643" w:firstLineChars="200"/>
        <w:rPr>
          <w:rFonts w:hint="eastAsia" w:ascii="仿宋_GB2312" w:eastAsia="仿宋_GB2312"/>
          <w:color w:val="auto"/>
          <w:sz w:val="32"/>
          <w:szCs w:val="32"/>
        </w:rPr>
      </w:pPr>
      <w:r>
        <w:rPr>
          <w:rFonts w:hint="eastAsia" w:ascii="仿宋_GB2312" w:eastAsia="仿宋_GB2312"/>
          <w:b/>
          <w:sz w:val="32"/>
          <w:szCs w:val="32"/>
        </w:rPr>
        <w:t>深化行政审批制度改革，</w:t>
      </w:r>
      <w:r>
        <w:rPr>
          <w:rFonts w:hint="eastAsia" w:ascii="仿宋" w:hAnsi="仿宋" w:eastAsia="仿宋" w:cs="仿宋"/>
          <w:b/>
          <w:bCs w:val="0"/>
          <w:color w:val="auto"/>
          <w:sz w:val="32"/>
          <w:szCs w:val="32"/>
        </w:rPr>
        <w:t>优化政务服务</w:t>
      </w:r>
      <w:r>
        <w:rPr>
          <w:rFonts w:hint="eastAsia" w:ascii="仿宋_GB2312" w:eastAsia="仿宋_GB2312"/>
          <w:b/>
          <w:sz w:val="32"/>
          <w:szCs w:val="32"/>
        </w:rPr>
        <w:t>。</w:t>
      </w:r>
      <w:r>
        <w:rPr>
          <w:rFonts w:hint="eastAsia" w:ascii="仿宋_GB2312" w:eastAsia="仿宋_GB2312"/>
          <w:b w:val="0"/>
          <w:bCs/>
          <w:color w:val="auto"/>
          <w:sz w:val="32"/>
          <w:szCs w:val="32"/>
        </w:rPr>
        <w:t>全力破解</w:t>
      </w:r>
      <w:r>
        <w:rPr>
          <w:rFonts w:hint="eastAsia" w:ascii="仿宋_GB2312" w:eastAsia="仿宋_GB2312"/>
          <w:color w:val="auto"/>
          <w:sz w:val="32"/>
          <w:szCs w:val="32"/>
        </w:rPr>
        <w:t>人社领域行政审批堵点痛点难点问题，全面提升人社政务服务效能。持续优化人社服务窗口建设，完善“前台综合受理、后台分类审批、综合窗口出件”的业务运作模式，在综合窗口对进驻事项实行无差别“一窗受理”，并延伸到广东政务服务网、自助服务终端，实现人社政务服务线下“只进一扇门”、“一窗通办”。聚焦企业和群众办事办件频率、办事习惯，深挖人社政务服务优化潜能，配合市人社局探索更多本地人社服务事项“打包办”“提速办”，推动人社服务“快办行动”进一步落地落实。实施“清减压”专项行动，持续推进简政放权、放管结合、优化服务，推动人社服务窗口向</w:t>
      </w:r>
      <w:r>
        <w:rPr>
          <w:rFonts w:hint="eastAsia" w:ascii="仿宋_GB2312" w:eastAsia="仿宋_GB2312"/>
          <w:color w:val="auto"/>
          <w:sz w:val="32"/>
          <w:szCs w:val="32"/>
          <w:lang w:eastAsia="zh-CN"/>
        </w:rPr>
        <w:t>镇街</w:t>
      </w:r>
      <w:r>
        <w:rPr>
          <w:rFonts w:hint="eastAsia" w:ascii="仿宋_GB2312" w:eastAsia="仿宋_GB2312"/>
          <w:color w:val="auto"/>
          <w:sz w:val="32"/>
          <w:szCs w:val="32"/>
        </w:rPr>
        <w:t>、社区下沉前移。不断深化“无证明城市”的创建工作，加大精简和优化各类证明材料力度，大力推广证明事项告知承诺制和电子证照。</w:t>
      </w:r>
    </w:p>
    <w:p>
      <w:pPr>
        <w:pStyle w:val="2"/>
      </w:pPr>
    </w:p>
    <w:p>
      <w:pPr>
        <w:pStyle w:val="4"/>
        <w:keepNext w:val="0"/>
        <w:keepLines w:val="0"/>
        <w:pageBreakBefore w:val="0"/>
        <w:kinsoku/>
        <w:wordWrap/>
        <w:overflowPunct/>
        <w:topLinePunct w:val="0"/>
        <w:autoSpaceDE/>
        <w:autoSpaceDN/>
        <w:bidi w:val="0"/>
        <w:adjustRightInd w:val="0"/>
        <w:snapToGrid w:val="0"/>
        <w:spacing w:before="120" w:beforeLines="50" w:after="120" w:afterLines="50" w:line="560" w:lineRule="exact"/>
        <w:ind w:left="200"/>
        <w:jc w:val="center"/>
      </w:pPr>
      <w:bookmarkStart w:id="94" w:name="_Toc19868"/>
      <w:bookmarkStart w:id="95" w:name="_Toc17668"/>
      <w:r>
        <w:rPr>
          <w:rFonts w:hint="eastAsia" w:ascii="Cambria" w:hAnsi="Cambria" w:eastAsia="楷体_GB2312"/>
          <w:color w:val="000000"/>
          <w:sz w:val="34"/>
        </w:rPr>
        <w:t>第二节</w:t>
      </w:r>
      <w:r>
        <w:rPr>
          <w:rFonts w:hint="eastAsia" w:ascii="Cambria" w:hAnsi="Cambria" w:eastAsia="楷体_GB2312"/>
          <w:color w:val="000000"/>
          <w:sz w:val="34"/>
          <w:lang w:val="en-US" w:eastAsia="zh-CN"/>
        </w:rPr>
        <w:t xml:space="preserve">   </w:t>
      </w:r>
      <w:r>
        <w:rPr>
          <w:rFonts w:hint="eastAsia" w:ascii="Cambria" w:hAnsi="Cambria" w:eastAsia="楷体_GB2312"/>
          <w:color w:val="000000"/>
          <w:sz w:val="34"/>
        </w:rPr>
        <w:t>大力推进公共服务均等化标准化信息化建设</w:t>
      </w:r>
      <w:bookmarkEnd w:id="94"/>
    </w:p>
    <w:p>
      <w:pPr>
        <w:keepLines w:val="0"/>
        <w:pageBreakBefore w:val="0"/>
        <w:kinsoku/>
        <w:wordWrap/>
        <w:overflowPunct/>
        <w:topLinePunct w:val="0"/>
        <w:autoSpaceDE/>
        <w:autoSpaceDN/>
        <w:bidi w:val="0"/>
        <w:spacing w:line="560" w:lineRule="exact"/>
        <w:ind w:firstLine="643" w:firstLineChars="200"/>
        <w:rPr>
          <w:rFonts w:ascii="仿宋" w:hAnsi="仿宋" w:eastAsia="仿宋" w:cs="仿宋"/>
          <w:bCs/>
          <w:sz w:val="32"/>
          <w:szCs w:val="32"/>
        </w:rPr>
      </w:pPr>
      <w:r>
        <w:rPr>
          <w:rFonts w:hint="eastAsia" w:ascii="仿宋" w:hAnsi="仿宋" w:eastAsia="仿宋" w:cs="仿宋"/>
          <w:b/>
          <w:bCs/>
          <w:sz w:val="32"/>
          <w:szCs w:val="32"/>
        </w:rPr>
        <w:t>建立健全覆盖城乡劳动者的就业创业公共服务体系和覆盖城乡全体居民的社会保障体系。</w:t>
      </w:r>
      <w:r>
        <w:rPr>
          <w:rFonts w:hint="eastAsia" w:ascii="仿宋" w:hAnsi="仿宋" w:eastAsia="仿宋" w:cs="仿宋"/>
          <w:bCs/>
          <w:sz w:val="32"/>
          <w:szCs w:val="32"/>
        </w:rPr>
        <w:t>完善普惠性的公共就业创业服务制度，创新公共就业创业服务供给模式，完善公共就业创业服务功能。建立更加高效便捷的社会保险经办服务体系，整合经办服务资源，合理配备经办管理服务人员。健全社会保险社会化管理服务体系，将符合条件的退休人员全部纳入社区管理。健全人才公共服务体系和服务平台，加强高层次、高技能人才服务平台建设，加快完善高效便捷的海外人才来汕工作、出入境、居留管理服务，实施引进高层次高技能人才服务绿卡制度。建立健全流动人员人事档案管理服务体系。</w:t>
      </w:r>
    </w:p>
    <w:p>
      <w:pPr>
        <w:keepLines w:val="0"/>
        <w:pageBreakBefore w:val="0"/>
        <w:kinsoku/>
        <w:wordWrap/>
        <w:overflowPunct/>
        <w:topLinePunct w:val="0"/>
        <w:autoSpaceDE/>
        <w:autoSpaceDN/>
        <w:bidi w:val="0"/>
        <w:spacing w:line="560" w:lineRule="exact"/>
        <w:ind w:firstLine="643" w:firstLineChars="200"/>
        <w:rPr>
          <w:rFonts w:ascii="仿宋" w:hAnsi="仿宋" w:eastAsia="仿宋" w:cs="仿宋"/>
          <w:bCs/>
          <w:sz w:val="32"/>
          <w:szCs w:val="32"/>
        </w:rPr>
      </w:pPr>
      <w:r>
        <w:rPr>
          <w:rFonts w:hint="eastAsia" w:ascii="仿宋" w:hAnsi="仿宋" w:eastAsia="仿宋" w:cs="仿宋"/>
          <w:b/>
          <w:bCs/>
          <w:sz w:val="32"/>
          <w:szCs w:val="32"/>
        </w:rPr>
        <w:t>完善服务标准体系，推动人社政务服务与本地政务服务改革深度融合。</w:t>
      </w:r>
      <w:r>
        <w:rPr>
          <w:rFonts w:hint="eastAsia" w:ascii="仿宋" w:hAnsi="仿宋" w:eastAsia="仿宋" w:cs="仿宋"/>
          <w:bCs/>
          <w:sz w:val="32"/>
          <w:szCs w:val="32"/>
        </w:rPr>
        <w:t>建立健全与政务服务改革相适应、人社公共服务业务与信息化建设于一体的人社基本公共服务标准化体系，以标准化促进基本公共服务均等化、普惠化、便捷化。进一步推进人社公共服务标准化、规范化，明确政务服务事项及其要素确定和调整工作流程。推动人社政务服务与本地政务服务改革深度融合，根据汕尾市跨城通办、同城通办、深度标准化要求，统筹每个事项要素范围并完善要素内容。</w:t>
      </w:r>
    </w:p>
    <w:p>
      <w:pPr>
        <w:keepLines w:val="0"/>
        <w:pageBreakBefore w:val="0"/>
        <w:kinsoku/>
        <w:wordWrap/>
        <w:overflowPunct/>
        <w:topLinePunct w:val="0"/>
        <w:autoSpaceDE/>
        <w:autoSpaceDN/>
        <w:bidi w:val="0"/>
        <w:spacing w:line="560" w:lineRule="exact"/>
        <w:ind w:firstLine="643" w:firstLineChars="200"/>
        <w:rPr>
          <w:rFonts w:ascii="仿宋" w:hAnsi="仿宋" w:eastAsia="仿宋" w:cs="仿宋"/>
          <w:bCs/>
          <w:color w:val="auto"/>
          <w:sz w:val="32"/>
          <w:szCs w:val="32"/>
        </w:rPr>
      </w:pPr>
      <w:r>
        <w:rPr>
          <w:rFonts w:hint="eastAsia" w:ascii="仿宋" w:hAnsi="仿宋" w:eastAsia="仿宋" w:cs="仿宋"/>
          <w:b/>
          <w:bCs/>
          <w:sz w:val="32"/>
          <w:szCs w:val="32"/>
        </w:rPr>
        <w:t>加强信息化载体建设，依托信息化提质增效。</w:t>
      </w:r>
      <w:r>
        <w:rPr>
          <w:rFonts w:hint="eastAsia" w:ascii="仿宋" w:hAnsi="仿宋" w:eastAsia="仿宋" w:cs="仿宋"/>
          <w:bCs/>
          <w:sz w:val="32"/>
          <w:szCs w:val="32"/>
        </w:rPr>
        <w:t>配合省加快推进省集中式人力资源和社会保障一体化信息系统项目，实现就业、社保、人才人事、劳动关系等数据全省集中。加强与市人社局、区各部门的沟通协调，统筹推进人社政务服务平台与</w:t>
      </w:r>
      <w:r>
        <w:rPr>
          <w:rFonts w:hint="eastAsia" w:ascii="仿宋" w:hAnsi="仿宋" w:eastAsia="仿宋" w:cs="仿宋"/>
          <w:bCs/>
          <w:color w:val="auto"/>
          <w:sz w:val="32"/>
          <w:szCs w:val="32"/>
        </w:rPr>
        <w:t xml:space="preserve">市区政务服务平台对接、数据衔接，加快推进部门内、跨部门、跨层级信息共享，进一步推动重点领域和高频事项“六个通办”。全面深化人社大数据应用，健全数据归集和共享应用机制，推进电子证照、电子档案袋、信用监管等大数据应用，加强人社数据资源安全保障和隐私保护。 </w:t>
      </w:r>
    </w:p>
    <w:p>
      <w:pPr>
        <w:pStyle w:val="12"/>
        <w:keepLines w:val="0"/>
        <w:pageBreakBefore w:val="0"/>
        <w:kinsoku/>
        <w:wordWrap/>
        <w:overflowPunct/>
        <w:topLinePunct w:val="0"/>
        <w:autoSpaceDE/>
        <w:autoSpaceDN/>
        <w:bidi w:val="0"/>
        <w:spacing w:line="560" w:lineRule="exact"/>
        <w:ind w:firstLine="643"/>
        <w:rPr>
          <w:rFonts w:hint="eastAsia" w:ascii="仿宋_GB2312" w:hAnsi="仿宋_GB2312" w:eastAsia="仿宋_GB2312" w:cs="仿宋_GB2312"/>
          <w:color w:val="auto"/>
          <w:sz w:val="32"/>
          <w:szCs w:val="32"/>
          <w:lang w:bidi="zh-TW"/>
        </w:rPr>
      </w:pPr>
      <w:r>
        <w:rPr>
          <w:rFonts w:hint="eastAsia" w:ascii="仿宋_GB2312" w:hAnsi="仿宋_GB2312" w:eastAsia="仿宋_GB2312" w:cs="仿宋_GB2312"/>
          <w:b/>
          <w:color w:val="auto"/>
          <w:sz w:val="32"/>
          <w:szCs w:val="32"/>
          <w:lang w:bidi="zh-TW"/>
        </w:rPr>
        <w:t>建立以社保卡为载体的“一卡通”服务管理模式。</w:t>
      </w:r>
      <w:r>
        <w:rPr>
          <w:rFonts w:hint="eastAsia" w:ascii="仿宋_GB2312" w:hAnsi="仿宋_GB2312" w:eastAsia="仿宋_GB2312" w:cs="仿宋_GB2312"/>
          <w:color w:val="auto"/>
          <w:sz w:val="32"/>
          <w:szCs w:val="32"/>
          <w:lang w:bidi="zh-TW"/>
        </w:rPr>
        <w:t>推动实现社保卡全民持有。以电子社保卡为载体打通线上线下公共服务渠道，实现“一人一卡、一卡多用、网卡结合”。拓展社保卡服务功能，提升社保卡应用效率。</w:t>
      </w:r>
    </w:p>
    <w:p>
      <w:pPr>
        <w:rPr>
          <w:rFonts w:hint="eastAsia"/>
        </w:rPr>
      </w:pPr>
    </w:p>
    <w:p>
      <w:pPr>
        <w:pStyle w:val="4"/>
        <w:keepNext w:val="0"/>
        <w:keepLines w:val="0"/>
        <w:pageBreakBefore w:val="0"/>
        <w:numPr>
          <w:ilvl w:val="0"/>
          <w:numId w:val="0"/>
        </w:numPr>
        <w:kinsoku/>
        <w:wordWrap/>
        <w:overflowPunct/>
        <w:topLinePunct w:val="0"/>
        <w:autoSpaceDE/>
        <w:autoSpaceDN/>
        <w:bidi w:val="0"/>
        <w:adjustRightInd w:val="0"/>
        <w:snapToGrid w:val="0"/>
        <w:spacing w:before="120" w:beforeLines="50" w:after="120" w:afterLines="50" w:line="560" w:lineRule="exact"/>
        <w:jc w:val="center"/>
        <w:rPr>
          <w:rFonts w:hint="eastAsia" w:ascii="仿宋_GB2312" w:eastAsia="仿宋_GB2312"/>
          <w:b/>
          <w:sz w:val="32"/>
          <w:szCs w:val="32"/>
        </w:rPr>
      </w:pPr>
      <w:bookmarkStart w:id="96" w:name="_Toc10430"/>
      <w:r>
        <w:rPr>
          <w:rFonts w:hint="eastAsia" w:ascii="Cambria" w:hAnsi="Cambria" w:eastAsia="楷体_GB2312"/>
          <w:color w:val="000000"/>
          <w:sz w:val="34"/>
          <w:lang w:eastAsia="zh-CN"/>
        </w:rPr>
        <w:t>第三节</w:t>
      </w:r>
      <w:r>
        <w:rPr>
          <w:rFonts w:hint="eastAsia" w:ascii="Cambria" w:hAnsi="Cambria" w:eastAsia="楷体_GB2312"/>
          <w:color w:val="000000"/>
          <w:sz w:val="34"/>
          <w:lang w:val="en-US" w:eastAsia="zh-CN"/>
        </w:rPr>
        <w:t xml:space="preserve">  </w:t>
      </w:r>
      <w:r>
        <w:rPr>
          <w:rFonts w:hint="eastAsia" w:ascii="Cambria" w:hAnsi="Cambria" w:eastAsia="楷体_GB2312"/>
          <w:color w:val="000000"/>
          <w:sz w:val="34"/>
        </w:rPr>
        <w:t>素质过硬的人社队伍</w:t>
      </w:r>
      <w:bookmarkEnd w:id="95"/>
      <w:bookmarkEnd w:id="96"/>
    </w:p>
    <w:p>
      <w:pPr>
        <w:keepLines w:val="0"/>
        <w:pageBreakBefore w:val="0"/>
        <w:kinsoku/>
        <w:wordWrap/>
        <w:overflowPunct/>
        <w:topLinePunct w:val="0"/>
        <w:autoSpaceDE/>
        <w:autoSpaceDN/>
        <w:bidi w:val="0"/>
        <w:adjustRightInd w:val="0"/>
        <w:spacing w:line="560" w:lineRule="exact"/>
        <w:ind w:firstLine="643" w:firstLineChars="200"/>
        <w:rPr>
          <w:rFonts w:ascii="仿宋_GB2312" w:eastAsia="仿宋_GB2312"/>
          <w:color w:val="auto"/>
          <w:sz w:val="32"/>
          <w:szCs w:val="32"/>
        </w:rPr>
      </w:pPr>
      <w:r>
        <w:rPr>
          <w:rFonts w:hint="eastAsia" w:ascii="仿宋_GB2312" w:eastAsia="仿宋_GB2312"/>
          <w:b/>
          <w:sz w:val="32"/>
          <w:szCs w:val="32"/>
        </w:rPr>
        <w:t>开展人社系统行风建设提升行动。</w:t>
      </w:r>
      <w:r>
        <w:rPr>
          <w:rFonts w:hint="eastAsia" w:ascii="仿宋_GB2312" w:eastAsia="仿宋_GB2312"/>
          <w:color w:val="auto"/>
          <w:sz w:val="32"/>
          <w:szCs w:val="32"/>
        </w:rPr>
        <w:t>推动行风建设与履职尽责互进共融，贯穿政策制定、日常监管、优化服务全过程。强化常态化监督，深入开展窗口服务“明察暗访”行动，构建疏导民生堵点痛点难点长效机制。</w:t>
      </w:r>
    </w:p>
    <w:p>
      <w:pPr>
        <w:keepLines w:val="0"/>
        <w:pageBreakBefore w:val="0"/>
        <w:kinsoku/>
        <w:wordWrap/>
        <w:overflowPunct/>
        <w:topLinePunct w:val="0"/>
        <w:autoSpaceDE/>
        <w:autoSpaceDN/>
        <w:bidi w:val="0"/>
        <w:adjustRightInd w:val="0"/>
        <w:spacing w:line="560" w:lineRule="exact"/>
        <w:ind w:firstLine="643" w:firstLineChars="200"/>
        <w:rPr>
          <w:rFonts w:ascii="仿宋_GB2312" w:eastAsia="仿宋_GB2312"/>
          <w:color w:val="auto"/>
          <w:sz w:val="32"/>
          <w:szCs w:val="32"/>
        </w:rPr>
      </w:pPr>
      <w:r>
        <w:rPr>
          <w:rFonts w:hint="eastAsia" w:ascii="仿宋_GB2312" w:eastAsia="仿宋_GB2312"/>
          <w:b/>
          <w:color w:val="auto"/>
          <w:sz w:val="32"/>
          <w:szCs w:val="32"/>
        </w:rPr>
        <w:t>完善人社政务服务“好差评”制度体系。</w:t>
      </w:r>
      <w:r>
        <w:rPr>
          <w:rFonts w:hint="eastAsia" w:ascii="仿宋_GB2312" w:eastAsia="仿宋_GB2312"/>
          <w:color w:val="auto"/>
          <w:sz w:val="32"/>
          <w:szCs w:val="32"/>
        </w:rPr>
        <w:t>形成差评和投诉问题的调查核实、督促整改和反馈机制。严格实施服务效能监督机制，畅通群众投诉举报渠道，强化执纪问责力度。强化宣传引导和舆情监测，加强警示教育，实名通报负面案例，落实行风建设问题专项整改。</w:t>
      </w:r>
    </w:p>
    <w:p>
      <w:pPr>
        <w:keepLines w:val="0"/>
        <w:pageBreakBefore w:val="0"/>
        <w:kinsoku/>
        <w:wordWrap/>
        <w:overflowPunct/>
        <w:topLinePunct w:val="0"/>
        <w:autoSpaceDE/>
        <w:autoSpaceDN/>
        <w:bidi w:val="0"/>
        <w:adjustRightInd w:val="0"/>
        <w:spacing w:line="560" w:lineRule="exact"/>
        <w:ind w:firstLine="643" w:firstLineChars="200"/>
        <w:rPr>
          <w:rFonts w:ascii="仿宋_GB2312" w:eastAsia="仿宋_GB2312"/>
          <w:color w:val="auto"/>
          <w:sz w:val="32"/>
          <w:szCs w:val="32"/>
        </w:rPr>
      </w:pPr>
      <w:r>
        <w:rPr>
          <w:rFonts w:hint="eastAsia" w:ascii="仿宋_GB2312" w:eastAsia="仿宋_GB2312"/>
          <w:b/>
          <w:color w:val="auto"/>
          <w:sz w:val="32"/>
          <w:szCs w:val="32"/>
        </w:rPr>
        <w:t>持续开展人社窗口业务技能练兵比武活动。</w:t>
      </w:r>
      <w:r>
        <w:rPr>
          <w:rFonts w:hint="eastAsia" w:ascii="仿宋_GB2312" w:eastAsia="仿宋_GB2312"/>
          <w:color w:val="auto"/>
          <w:sz w:val="32"/>
          <w:szCs w:val="32"/>
        </w:rPr>
        <w:t>实现全员练兵常态化，培育“人社服务标兵”“人社知识通”，在系统内树立业务先进典型。</w:t>
      </w:r>
    </w:p>
    <w:p>
      <w:pPr>
        <w:keepLines w:val="0"/>
        <w:pageBreakBefore w:val="0"/>
        <w:kinsoku/>
        <w:wordWrap/>
        <w:overflowPunct/>
        <w:topLinePunct w:val="0"/>
        <w:autoSpaceDE/>
        <w:autoSpaceDN/>
        <w:bidi w:val="0"/>
        <w:adjustRightInd w:val="0"/>
        <w:spacing w:line="560" w:lineRule="exact"/>
        <w:ind w:firstLine="643" w:firstLineChars="200"/>
        <w:rPr>
          <w:rFonts w:hint="eastAsia" w:ascii="仿宋_GB2312" w:eastAsia="仿宋_GB2312"/>
          <w:color w:val="auto"/>
          <w:sz w:val="32"/>
          <w:szCs w:val="32"/>
        </w:rPr>
      </w:pPr>
      <w:r>
        <w:rPr>
          <w:rFonts w:hint="eastAsia" w:ascii="仿宋_GB2312" w:eastAsia="仿宋_GB2312"/>
          <w:b/>
          <w:color w:val="auto"/>
          <w:sz w:val="32"/>
          <w:szCs w:val="32"/>
        </w:rPr>
        <w:t>加强人社系统队伍建设。</w:t>
      </w:r>
      <w:r>
        <w:rPr>
          <w:rFonts w:hint="eastAsia" w:ascii="仿宋_GB2312" w:eastAsia="仿宋_GB2312"/>
          <w:color w:val="auto"/>
          <w:sz w:val="32"/>
          <w:szCs w:val="32"/>
        </w:rPr>
        <w:t>把“不忘初心、牢记使命”作为加强党的建设的永恒课题和全体党员干部的终身课题常抓不懈，打造忠诚干净担当的高素质专业化干部队伍。充实人力资源社会保障队伍，优化人员结构。打造“三个表率”模范机关，加强人社系统廉政风险防控体系建设，坚决纠治形式主义、官僚主义，守牢守好人社领域意识形态主阵地。</w:t>
      </w:r>
      <w:bookmarkStart w:id="97" w:name="_Toc19242"/>
    </w:p>
    <w:bookmarkEnd w:id="97"/>
    <w:p>
      <w:pPr>
        <w:pStyle w:val="3"/>
        <w:keepLines w:val="0"/>
        <w:pageBreakBefore w:val="0"/>
        <w:kinsoku/>
        <w:wordWrap/>
        <w:overflowPunct/>
        <w:topLinePunct w:val="0"/>
        <w:autoSpaceDE/>
        <w:autoSpaceDN/>
        <w:bidi w:val="0"/>
        <w:adjustRightInd w:val="0"/>
        <w:snapToGrid w:val="0"/>
        <w:spacing w:before="120" w:beforeLines="50" w:after="120" w:afterLines="50" w:line="560" w:lineRule="exact"/>
        <w:jc w:val="center"/>
        <w:rPr>
          <w:rFonts w:ascii="Calibri" w:hAnsi="Calibri" w:eastAsia="黑体"/>
          <w:sz w:val="44"/>
          <w:szCs w:val="44"/>
          <w:lang w:val="en-US" w:eastAsia="zh-CN"/>
        </w:rPr>
      </w:pPr>
      <w:bookmarkStart w:id="98" w:name="_Toc20755"/>
      <w:bookmarkStart w:id="99" w:name="_Toc27612"/>
      <w:r>
        <w:rPr>
          <w:rFonts w:hint="eastAsia" w:ascii="Calibri" w:hAnsi="Calibri" w:eastAsia="黑体"/>
          <w:sz w:val="44"/>
          <w:szCs w:val="44"/>
          <w:lang w:val="en-US" w:eastAsia="zh-CN"/>
        </w:rPr>
        <w:t>第</w:t>
      </w:r>
      <w:r>
        <w:rPr>
          <w:rFonts w:ascii="Calibri" w:hAnsi="Calibri" w:eastAsia="黑体"/>
          <w:sz w:val="44"/>
          <w:szCs w:val="44"/>
          <w:lang w:val="en-US" w:eastAsia="zh-CN"/>
        </w:rPr>
        <w:t>十</w:t>
      </w:r>
      <w:r>
        <w:rPr>
          <w:rFonts w:hint="eastAsia" w:ascii="Calibri" w:hAnsi="Calibri" w:eastAsia="黑体"/>
          <w:sz w:val="44"/>
          <w:szCs w:val="44"/>
          <w:lang w:val="en-US" w:eastAsia="zh-CN"/>
        </w:rPr>
        <w:t xml:space="preserve">章  </w:t>
      </w:r>
      <w:r>
        <w:rPr>
          <w:rFonts w:ascii="Calibri" w:hAnsi="Calibri" w:eastAsia="黑体"/>
          <w:sz w:val="44"/>
          <w:szCs w:val="44"/>
          <w:lang w:val="en-US" w:eastAsia="zh-CN"/>
        </w:rPr>
        <w:t>保障措</w:t>
      </w:r>
      <w:bookmarkEnd w:id="92"/>
      <w:r>
        <w:rPr>
          <w:rFonts w:hint="eastAsia" w:ascii="Calibri" w:hAnsi="Calibri" w:eastAsia="黑体"/>
          <w:sz w:val="44"/>
          <w:szCs w:val="44"/>
          <w:lang w:val="en-US" w:eastAsia="zh-CN"/>
        </w:rPr>
        <w:t>施</w:t>
      </w:r>
      <w:bookmarkEnd w:id="98"/>
      <w:bookmarkEnd w:id="99"/>
    </w:p>
    <w:p>
      <w:pPr>
        <w:keepLines w:val="0"/>
        <w:pageBreakBefore w:val="0"/>
        <w:kinsoku/>
        <w:wordWrap/>
        <w:overflowPunct/>
        <w:topLinePunct w:val="0"/>
        <w:autoSpaceDE/>
        <w:autoSpaceDN/>
        <w:bidi w:val="0"/>
        <w:adjustRightInd w:val="0"/>
        <w:snapToGrid w:val="0"/>
        <w:spacing w:line="560" w:lineRule="exact"/>
        <w:ind w:firstLine="640" w:firstLineChars="200"/>
        <w:rPr>
          <w:rFonts w:hint="eastAsia" w:ascii="仿宋_GB2312" w:hAnsi="仿宋_GB2312" w:eastAsia="仿宋_GB2312" w:cs="仿宋_GB2312"/>
          <w:sz w:val="32"/>
          <w:szCs w:val="32"/>
          <w:lang w:bidi="zh-TW"/>
        </w:rPr>
      </w:pPr>
    </w:p>
    <w:p>
      <w:pPr>
        <w:keepLines w:val="0"/>
        <w:pageBreakBefore w:val="0"/>
        <w:kinsoku/>
        <w:wordWrap/>
        <w:overflowPunct/>
        <w:topLinePunct w:val="0"/>
        <w:autoSpaceDE/>
        <w:autoSpaceDN/>
        <w:bidi w:val="0"/>
        <w:adjustRightInd w:val="0"/>
        <w:snapToGrid w:val="0"/>
        <w:spacing w:line="560" w:lineRule="exact"/>
        <w:ind w:firstLine="640" w:firstLineChars="200"/>
        <w:rPr>
          <w:rFonts w:ascii="仿宋_GB2312" w:hAnsi="仿宋_GB2312" w:eastAsia="仿宋_GB2312" w:cs="仿宋_GB2312"/>
          <w:sz w:val="32"/>
          <w:szCs w:val="32"/>
          <w:lang w:bidi="zh-TW"/>
        </w:rPr>
      </w:pPr>
      <w:r>
        <w:rPr>
          <w:rFonts w:hint="eastAsia" w:ascii="仿宋_GB2312" w:hAnsi="仿宋_GB2312" w:eastAsia="仿宋_GB2312" w:cs="仿宋_GB2312"/>
          <w:sz w:val="32"/>
          <w:szCs w:val="32"/>
          <w:lang w:bidi="zh-TW"/>
        </w:rPr>
        <w:t>“十四五”时期人力资源和社会保障事业高质量发展任务艰巨，要广泛发动各方力量，完善资金、人力、数据等各项保障措施，突出重点、统揽全局，推动规划确定的各项目标任务落实落地。</w:t>
      </w:r>
    </w:p>
    <w:p>
      <w:pPr>
        <w:pStyle w:val="4"/>
        <w:keepNext w:val="0"/>
        <w:keepLines w:val="0"/>
        <w:pageBreakBefore w:val="0"/>
        <w:kinsoku/>
        <w:wordWrap/>
        <w:overflowPunct/>
        <w:topLinePunct w:val="0"/>
        <w:autoSpaceDE/>
        <w:autoSpaceDN/>
        <w:bidi w:val="0"/>
        <w:adjustRightInd w:val="0"/>
        <w:snapToGrid w:val="0"/>
        <w:spacing w:before="120" w:beforeLines="50" w:after="120" w:afterLines="50" w:line="560" w:lineRule="exact"/>
        <w:ind w:left="200"/>
        <w:jc w:val="center"/>
        <w:rPr>
          <w:rFonts w:ascii="Cambria" w:hAnsi="Cambria" w:eastAsia="楷体_GB2312"/>
          <w:color w:val="000000"/>
          <w:sz w:val="34"/>
        </w:rPr>
      </w:pPr>
      <w:bookmarkStart w:id="100" w:name="_Toc6076"/>
      <w:bookmarkStart w:id="101" w:name="_Toc8227"/>
      <w:r>
        <w:rPr>
          <w:rFonts w:hint="eastAsia" w:ascii="Cambria" w:hAnsi="Cambria" w:eastAsia="楷体_GB2312"/>
          <w:color w:val="000000"/>
          <w:sz w:val="34"/>
        </w:rPr>
        <w:t>第一节  加强政策研究和统计监测分析</w:t>
      </w:r>
      <w:bookmarkEnd w:id="100"/>
      <w:bookmarkEnd w:id="101"/>
    </w:p>
    <w:p>
      <w:pPr>
        <w:keepLines w:val="0"/>
        <w:pageBreakBefore w:val="0"/>
        <w:kinsoku/>
        <w:wordWrap/>
        <w:overflowPunct/>
        <w:topLinePunct w:val="0"/>
        <w:autoSpaceDE/>
        <w:autoSpaceDN/>
        <w:bidi w:val="0"/>
        <w:adjustRightInd w:val="0"/>
        <w:snapToGrid w:val="0"/>
        <w:spacing w:line="560" w:lineRule="exact"/>
        <w:ind w:firstLine="640" w:firstLineChars="200"/>
        <w:rPr>
          <w:rFonts w:hint="eastAsia" w:ascii="仿宋_GB2312" w:hAnsi="仿宋_GB2312" w:eastAsia="仿宋_GB2312" w:cs="仿宋_GB2312"/>
          <w:sz w:val="32"/>
          <w:szCs w:val="32"/>
          <w:lang w:bidi="zh-TW"/>
        </w:rPr>
      </w:pPr>
      <w:r>
        <w:rPr>
          <w:rFonts w:hint="eastAsia" w:ascii="仿宋_GB2312" w:hAnsi="仿宋_GB2312" w:eastAsia="仿宋_GB2312" w:cs="仿宋_GB2312"/>
          <w:sz w:val="32"/>
          <w:szCs w:val="32"/>
          <w:lang w:bidi="zh-TW"/>
        </w:rPr>
        <w:t>围绕中心工作加强基础理论和应用研究，建立理论研究、技术开发与人力资源社会保障事业发展的</w:t>
      </w:r>
      <w:r>
        <w:rPr>
          <w:rFonts w:hint="eastAsia" w:ascii="仿宋_GB2312" w:hAnsi="仿宋_GB2312" w:eastAsia="仿宋_GB2312" w:cs="仿宋_GB2312"/>
          <w:color w:val="auto"/>
          <w:sz w:val="32"/>
          <w:szCs w:val="32"/>
          <w:lang w:bidi="zh-TW"/>
        </w:rPr>
        <w:t>良</w:t>
      </w:r>
      <w:r>
        <w:rPr>
          <w:rFonts w:hint="eastAsia" w:ascii="仿宋_GB2312" w:hAnsi="仿宋_GB2312" w:eastAsia="仿宋_GB2312" w:cs="仿宋_GB2312"/>
          <w:color w:val="auto"/>
          <w:sz w:val="32"/>
          <w:szCs w:val="32"/>
          <w:lang w:val="en-US" w:eastAsia="zh-CN" w:bidi="zh-TW"/>
        </w:rPr>
        <w:t>性</w:t>
      </w:r>
      <w:r>
        <w:rPr>
          <w:rFonts w:hint="eastAsia" w:ascii="仿宋_GB2312" w:hAnsi="仿宋_GB2312" w:eastAsia="仿宋_GB2312" w:cs="仿宋_GB2312"/>
          <w:color w:val="auto"/>
          <w:sz w:val="32"/>
          <w:szCs w:val="32"/>
          <w:lang w:bidi="zh-TW"/>
        </w:rPr>
        <w:t>互</w:t>
      </w:r>
      <w:r>
        <w:rPr>
          <w:rFonts w:hint="eastAsia" w:ascii="仿宋_GB2312" w:hAnsi="仿宋_GB2312" w:eastAsia="仿宋_GB2312" w:cs="仿宋_GB2312"/>
          <w:sz w:val="32"/>
          <w:szCs w:val="32"/>
          <w:lang w:bidi="zh-TW"/>
        </w:rPr>
        <w:t>动机制，进一步推动科研创新，大力推广科研成果应用，为事业发展提供系统科学的理论指导和技术支撑。建立重大决策研究论证机制和程序。完善统一管理、上下联动、分工分级负责的统计管理体制，建立领域完整、方法科学、可获取、可衡量、可比较的统计调查体系。适应人力资源社会保障事业高质量发展需求，构建具有关联性、可比性、集约性、针对性的统计指标体系，丰富拓展统计调查领域和内容，加强统计数据解读和分析研判，提升统计服务能力。提升统计信息化水平。加强统计监督职能，防范和惩治统计造假、弄虚作假。</w:t>
      </w:r>
      <w:bookmarkStart w:id="102" w:name="_Toc5702"/>
    </w:p>
    <w:p>
      <w:pPr>
        <w:pStyle w:val="2"/>
        <w:rPr>
          <w:rFonts w:hint="eastAsia"/>
        </w:rPr>
      </w:pPr>
    </w:p>
    <w:p>
      <w:pPr>
        <w:pStyle w:val="4"/>
        <w:keepNext w:val="0"/>
        <w:keepLines w:val="0"/>
        <w:pageBreakBefore w:val="0"/>
        <w:kinsoku/>
        <w:wordWrap/>
        <w:overflowPunct/>
        <w:topLinePunct w:val="0"/>
        <w:autoSpaceDE/>
        <w:autoSpaceDN/>
        <w:bidi w:val="0"/>
        <w:adjustRightInd w:val="0"/>
        <w:snapToGrid w:val="0"/>
        <w:spacing w:before="120" w:beforeLines="50" w:after="120" w:afterLines="50" w:line="560" w:lineRule="exact"/>
        <w:ind w:left="200"/>
        <w:jc w:val="center"/>
        <w:rPr>
          <w:rFonts w:ascii="Cambria" w:hAnsi="Cambria" w:eastAsia="楷体_GB2312"/>
          <w:color w:val="000000"/>
          <w:sz w:val="34"/>
        </w:rPr>
      </w:pPr>
      <w:bookmarkStart w:id="103" w:name="_Toc22747"/>
      <w:r>
        <w:rPr>
          <w:rFonts w:hint="eastAsia" w:ascii="Cambria" w:hAnsi="Cambria" w:eastAsia="楷体_GB2312"/>
          <w:color w:val="000000"/>
          <w:sz w:val="34"/>
        </w:rPr>
        <w:t>第二节  提高财政投入效益</w:t>
      </w:r>
      <w:bookmarkEnd w:id="102"/>
      <w:bookmarkEnd w:id="103"/>
    </w:p>
    <w:p>
      <w:pPr>
        <w:keepLines w:val="0"/>
        <w:pageBreakBefore w:val="0"/>
        <w:kinsoku/>
        <w:wordWrap/>
        <w:overflowPunct/>
        <w:topLinePunct w:val="0"/>
        <w:autoSpaceDE/>
        <w:autoSpaceDN/>
        <w:bidi w:val="0"/>
        <w:adjustRightInd w:val="0"/>
        <w:snapToGrid w:val="0"/>
        <w:spacing w:line="560" w:lineRule="exact"/>
        <w:ind w:firstLine="640" w:firstLineChars="200"/>
        <w:rPr>
          <w:rFonts w:hint="eastAsia" w:ascii="仿宋_GB2312" w:hAnsi="仿宋_GB2312" w:eastAsia="仿宋_GB2312" w:cs="仿宋_GB2312"/>
          <w:sz w:val="32"/>
          <w:szCs w:val="32"/>
          <w:lang w:bidi="zh-TW"/>
        </w:rPr>
      </w:pPr>
      <w:r>
        <w:rPr>
          <w:rFonts w:hint="eastAsia" w:ascii="仿宋_GB2312" w:hAnsi="仿宋_GB2312" w:eastAsia="仿宋_GB2312" w:cs="仿宋_GB2312"/>
          <w:sz w:val="32"/>
          <w:szCs w:val="32"/>
          <w:lang w:bidi="zh-TW"/>
        </w:rPr>
        <w:t>坚持基本公共服务水平与经济社会发展水平相适应，推动建立同人力资源社会保障事业发展需要相适应、同经济发展水平相匹配的财政投入稳定增长机制。推动完善财权事权划分，构建与事权匹配的人力资源社会保障公共服务经费分级保障机制，探索政府购买服务的新办法、新途径，健全工作经费保障机制，创新财政保障机制。积极争取国家</w:t>
      </w:r>
      <w:r>
        <w:rPr>
          <w:rFonts w:hint="eastAsia" w:ascii="仿宋_GB2312" w:hAnsi="仿宋_GB2312" w:eastAsia="仿宋_GB2312" w:cs="仿宋_GB2312"/>
          <w:sz w:val="32"/>
          <w:szCs w:val="32"/>
          <w:lang w:eastAsia="zh-CN" w:bidi="zh-TW"/>
        </w:rPr>
        <w:t>、</w:t>
      </w:r>
      <w:r>
        <w:rPr>
          <w:rFonts w:hint="eastAsia" w:ascii="仿宋_GB2312" w:hAnsi="仿宋_GB2312" w:eastAsia="仿宋_GB2312" w:cs="仿宋_GB2312"/>
          <w:sz w:val="32"/>
          <w:szCs w:val="32"/>
          <w:lang w:bidi="zh-TW"/>
        </w:rPr>
        <w:t>省和</w:t>
      </w:r>
      <w:r>
        <w:rPr>
          <w:rFonts w:hint="eastAsia" w:ascii="仿宋_GB2312" w:hAnsi="仿宋_GB2312" w:eastAsia="仿宋_GB2312" w:cs="仿宋_GB2312"/>
          <w:sz w:val="32"/>
          <w:szCs w:val="32"/>
          <w:lang w:eastAsia="zh-CN" w:bidi="zh-TW"/>
        </w:rPr>
        <w:t>市</w:t>
      </w:r>
      <w:r>
        <w:rPr>
          <w:rFonts w:hint="eastAsia" w:ascii="仿宋_GB2312" w:hAnsi="仿宋_GB2312" w:eastAsia="仿宋_GB2312" w:cs="仿宋_GB2312"/>
          <w:sz w:val="32"/>
          <w:szCs w:val="32"/>
          <w:lang w:bidi="zh-TW"/>
        </w:rPr>
        <w:t>财政的支持，各级财政预算中要优先安排就业和社保专项资金，加大对重大项目的投入力度，确保重点建设项目的顺利推进。加强人力资源社会保障专项资金管理，建立科学化精细化理财模式，提高专项资金使用绩效。</w:t>
      </w:r>
    </w:p>
    <w:p>
      <w:pPr>
        <w:pStyle w:val="2"/>
      </w:pPr>
    </w:p>
    <w:p>
      <w:pPr>
        <w:pStyle w:val="4"/>
        <w:keepNext w:val="0"/>
        <w:keepLines w:val="0"/>
        <w:pageBreakBefore w:val="0"/>
        <w:kinsoku/>
        <w:wordWrap/>
        <w:overflowPunct/>
        <w:topLinePunct w:val="0"/>
        <w:autoSpaceDE/>
        <w:autoSpaceDN/>
        <w:bidi w:val="0"/>
        <w:adjustRightInd w:val="0"/>
        <w:snapToGrid w:val="0"/>
        <w:spacing w:before="120" w:beforeLines="50" w:after="120" w:afterLines="50" w:line="560" w:lineRule="exact"/>
        <w:ind w:left="200"/>
        <w:jc w:val="center"/>
        <w:rPr>
          <w:rFonts w:ascii="Cambria" w:hAnsi="Cambria" w:eastAsia="楷体_GB2312"/>
          <w:color w:val="000000"/>
          <w:sz w:val="34"/>
        </w:rPr>
      </w:pPr>
      <w:bookmarkStart w:id="104" w:name="_Toc20485"/>
      <w:bookmarkStart w:id="105" w:name="_Toc700"/>
      <w:r>
        <w:rPr>
          <w:rFonts w:hint="eastAsia" w:ascii="Cambria" w:hAnsi="Cambria" w:eastAsia="楷体_GB2312"/>
          <w:color w:val="000000"/>
          <w:sz w:val="34"/>
        </w:rPr>
        <w:t>第三节  实施重大项目</w:t>
      </w:r>
      <w:bookmarkEnd w:id="104"/>
      <w:bookmarkEnd w:id="105"/>
    </w:p>
    <w:p>
      <w:pPr>
        <w:keepLines w:val="0"/>
        <w:pageBreakBefore w:val="0"/>
        <w:kinsoku/>
        <w:wordWrap/>
        <w:overflowPunct/>
        <w:topLinePunct w:val="0"/>
        <w:autoSpaceDE/>
        <w:autoSpaceDN/>
        <w:bidi w:val="0"/>
        <w:adjustRightInd w:val="0"/>
        <w:snapToGrid w:val="0"/>
        <w:spacing w:line="560" w:lineRule="exact"/>
        <w:ind w:firstLine="640" w:firstLineChars="200"/>
        <w:rPr>
          <w:rFonts w:hint="eastAsia" w:ascii="仿宋_GB2312" w:hAnsi="仿宋_GB2312" w:eastAsia="仿宋_GB2312" w:cs="仿宋_GB2312"/>
          <w:sz w:val="32"/>
          <w:szCs w:val="32"/>
          <w:lang w:bidi="zh-TW"/>
        </w:rPr>
      </w:pPr>
      <w:r>
        <w:rPr>
          <w:rFonts w:hint="eastAsia" w:ascii="仿宋_GB2312" w:hAnsi="仿宋_GB2312" w:eastAsia="仿宋_GB2312" w:cs="仿宋_GB2312"/>
          <w:sz w:val="32"/>
          <w:szCs w:val="32"/>
          <w:lang w:bidi="zh-TW"/>
        </w:rPr>
        <w:t>针对人力资源和社会保障公共服务领域的关键部位和薄弱环节，因地制宜、突出重点，安排实施涉及公共就业、社会保障、人事人才、劳动关系、职业培训、信息化等方面的重大项目，实现重大政策措施与重大工程项目有机结合，促进基础设施的改善和管理服务能力的提升。加强项目实施的组织领导，明确项目实施责任主体，认真做好资金筹集、项目实施、竣工验收各项工作，确保项目保质保量如期完成。</w:t>
      </w:r>
    </w:p>
    <w:p>
      <w:pPr>
        <w:pStyle w:val="2"/>
      </w:pPr>
    </w:p>
    <w:p>
      <w:pPr>
        <w:pStyle w:val="4"/>
        <w:keepNext w:val="0"/>
        <w:keepLines w:val="0"/>
        <w:pageBreakBefore w:val="0"/>
        <w:kinsoku/>
        <w:wordWrap/>
        <w:overflowPunct/>
        <w:topLinePunct w:val="0"/>
        <w:autoSpaceDE/>
        <w:autoSpaceDN/>
        <w:bidi w:val="0"/>
        <w:adjustRightInd w:val="0"/>
        <w:snapToGrid w:val="0"/>
        <w:spacing w:before="120" w:beforeLines="50" w:after="120" w:afterLines="50" w:line="560" w:lineRule="exact"/>
        <w:ind w:left="200"/>
        <w:jc w:val="center"/>
        <w:rPr>
          <w:rFonts w:ascii="Cambria" w:hAnsi="Cambria" w:eastAsia="楷体_GB2312"/>
          <w:color w:val="000000"/>
          <w:sz w:val="34"/>
        </w:rPr>
      </w:pPr>
      <w:bookmarkStart w:id="106" w:name="_Toc15329"/>
      <w:bookmarkStart w:id="107" w:name="_Toc19185"/>
      <w:r>
        <w:rPr>
          <w:rFonts w:hint="eastAsia" w:ascii="Cambria" w:hAnsi="Cambria" w:eastAsia="楷体_GB2312"/>
          <w:color w:val="000000"/>
          <w:sz w:val="34"/>
        </w:rPr>
        <w:t>第四节  强化规划实施</w:t>
      </w:r>
      <w:bookmarkEnd w:id="106"/>
      <w:bookmarkEnd w:id="107"/>
    </w:p>
    <w:p>
      <w:pPr>
        <w:keepLines w:val="0"/>
        <w:pageBreakBefore w:val="0"/>
        <w:kinsoku/>
        <w:wordWrap/>
        <w:overflowPunct/>
        <w:topLinePunct w:val="0"/>
        <w:autoSpaceDE/>
        <w:autoSpaceDN/>
        <w:bidi w:val="0"/>
        <w:adjustRightInd w:val="0"/>
        <w:snapToGrid w:val="0"/>
        <w:spacing w:line="560" w:lineRule="exact"/>
        <w:ind w:firstLine="640" w:firstLineChars="200"/>
        <w:rPr>
          <w:rStyle w:val="17"/>
          <w:rFonts w:ascii="方正小标宋简体" w:hAnsi="仿宋" w:eastAsia="方正小标宋简体" w:cs="仿宋"/>
          <w:b/>
          <w:bCs/>
          <w:sz w:val="32"/>
          <w:szCs w:val="32"/>
        </w:rPr>
      </w:pPr>
      <w:r>
        <w:rPr>
          <w:rFonts w:hint="eastAsia" w:ascii="仿宋_GB2312" w:hAnsi="仿宋_GB2312" w:eastAsia="仿宋_GB2312" w:cs="仿宋_GB2312"/>
          <w:sz w:val="32"/>
          <w:szCs w:val="32"/>
          <w:lang w:bidi="zh-TW"/>
        </w:rPr>
        <w:t>建立健全规划实施机制，加强规划实施的动员部署、统筹协调和宏观指导，分解落实规划确定的发展目标和主要任务，制定重大项目实施管理办法，建立工作台账管理机制，明确责任分工，认真组织实施。各有关部门要积极配合，密切协作，加强对规划实施的动态监测和跟踪分析，及时发现和解决规划执行过程中存在的问题，定期组织对规划实施情况的检查，开展规划执行情况期中和期末评估，确保各项任务落到实处。</w:t>
      </w:r>
    </w:p>
    <w:p>
      <w:pPr>
        <w:keepLines w:val="0"/>
        <w:pageBreakBefore w:val="0"/>
        <w:kinsoku/>
        <w:wordWrap/>
        <w:overflowPunct/>
        <w:topLinePunct w:val="0"/>
        <w:autoSpaceDE/>
        <w:autoSpaceDN/>
        <w:bidi w:val="0"/>
        <w:adjustRightInd w:val="0"/>
        <w:snapToGrid w:val="0"/>
        <w:spacing w:before="360" w:beforeLines="150" w:line="560" w:lineRule="exact"/>
        <w:rPr>
          <w:rFonts w:ascii="仿宋_GB2312" w:hAnsi="仿宋_GB2312" w:eastAsia="仿宋_GB2312" w:cs="仿宋_GB2312"/>
          <w:b/>
          <w:sz w:val="28"/>
          <w:szCs w:val="28"/>
          <w:lang w:bidi="zh-TW"/>
        </w:rPr>
        <w:sectPr>
          <w:pgSz w:w="12240" w:h="15840"/>
          <w:pgMar w:top="1440" w:right="1800" w:bottom="1440" w:left="1800" w:header="720" w:footer="720" w:gutter="0"/>
          <w:pgNumType w:start="1"/>
          <w:cols w:space="720" w:num="1"/>
          <w:docGrid w:linePitch="286" w:charSpace="0"/>
        </w:sectPr>
      </w:pPr>
    </w:p>
    <w:p>
      <w:pPr>
        <w:pStyle w:val="3"/>
        <w:keepLines w:val="0"/>
        <w:pageBreakBefore w:val="0"/>
        <w:kinsoku/>
        <w:wordWrap/>
        <w:overflowPunct/>
        <w:topLinePunct w:val="0"/>
        <w:autoSpaceDE/>
        <w:autoSpaceDN/>
        <w:bidi w:val="0"/>
        <w:adjustRightInd w:val="0"/>
        <w:snapToGrid w:val="0"/>
        <w:spacing w:before="120" w:beforeLines="50" w:after="120" w:afterLines="50" w:line="560" w:lineRule="exact"/>
        <w:jc w:val="both"/>
        <w:rPr>
          <w:rFonts w:ascii="Calibri" w:hAnsi="Calibri" w:eastAsia="黑体"/>
          <w:sz w:val="36"/>
          <w:szCs w:val="36"/>
          <w:lang w:val="en-US" w:eastAsia="zh-CN"/>
        </w:rPr>
      </w:pPr>
      <w:bookmarkStart w:id="108" w:name="_Toc16750"/>
      <w:bookmarkStart w:id="109" w:name="_Toc6903"/>
      <w:r>
        <w:rPr>
          <w:rFonts w:hint="eastAsia" w:ascii="Calibri" w:hAnsi="Calibri" w:eastAsia="黑体"/>
          <w:sz w:val="36"/>
          <w:szCs w:val="36"/>
          <w:lang w:val="en-US" w:eastAsia="zh-CN"/>
        </w:rPr>
        <w:t>附件：汕尾市城区人力资源和社会保障事业发展“十四五”规划重大项目表</w:t>
      </w:r>
      <w:bookmarkEnd w:id="108"/>
      <w:bookmarkEnd w:id="109"/>
    </w:p>
    <w:tbl>
      <w:tblPr>
        <w:tblStyle w:val="14"/>
        <w:tblW w:w="120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9"/>
        <w:gridCol w:w="2266"/>
        <w:gridCol w:w="3066"/>
        <w:gridCol w:w="1995"/>
        <w:gridCol w:w="1815"/>
        <w:gridCol w:w="18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9" w:type="dxa"/>
            <w:vAlign w:val="center"/>
          </w:tcPr>
          <w:p>
            <w:pPr>
              <w:keepLines w:val="0"/>
              <w:pageBreakBefore w:val="0"/>
              <w:kinsoku/>
              <w:wordWrap/>
              <w:overflowPunct/>
              <w:topLinePunct w:val="0"/>
              <w:autoSpaceDE/>
              <w:autoSpaceDN/>
              <w:bidi w:val="0"/>
              <w:adjustRightInd w:val="0"/>
              <w:snapToGrid w:val="0"/>
              <w:spacing w:line="560" w:lineRule="exact"/>
              <w:jc w:val="center"/>
              <w:rPr>
                <w:rFonts w:ascii="楷体_GB2312" w:eastAsia="楷体_GB2312"/>
                <w:sz w:val="32"/>
                <w:szCs w:val="32"/>
              </w:rPr>
            </w:pPr>
            <w:r>
              <w:rPr>
                <w:rFonts w:hint="eastAsia" w:ascii="楷体_GB2312" w:eastAsia="楷体_GB2312"/>
                <w:sz w:val="32"/>
                <w:szCs w:val="32"/>
              </w:rPr>
              <w:t>序号</w:t>
            </w:r>
          </w:p>
        </w:tc>
        <w:tc>
          <w:tcPr>
            <w:tcW w:w="2266" w:type="dxa"/>
            <w:vAlign w:val="center"/>
          </w:tcPr>
          <w:p>
            <w:pPr>
              <w:keepLines w:val="0"/>
              <w:pageBreakBefore w:val="0"/>
              <w:kinsoku/>
              <w:wordWrap/>
              <w:overflowPunct/>
              <w:topLinePunct w:val="0"/>
              <w:autoSpaceDE/>
              <w:autoSpaceDN/>
              <w:bidi w:val="0"/>
              <w:adjustRightInd w:val="0"/>
              <w:snapToGrid w:val="0"/>
              <w:spacing w:line="560" w:lineRule="exact"/>
              <w:jc w:val="center"/>
              <w:rPr>
                <w:rFonts w:ascii="楷体_GB2312" w:eastAsia="楷体_GB2312"/>
                <w:sz w:val="32"/>
                <w:szCs w:val="32"/>
              </w:rPr>
            </w:pPr>
            <w:r>
              <w:rPr>
                <w:rFonts w:hint="eastAsia" w:ascii="楷体_GB2312" w:eastAsia="楷体_GB2312"/>
                <w:sz w:val="32"/>
                <w:szCs w:val="32"/>
              </w:rPr>
              <w:t>类别</w:t>
            </w:r>
          </w:p>
        </w:tc>
        <w:tc>
          <w:tcPr>
            <w:tcW w:w="3066" w:type="dxa"/>
            <w:vAlign w:val="center"/>
          </w:tcPr>
          <w:p>
            <w:pPr>
              <w:keepLines w:val="0"/>
              <w:pageBreakBefore w:val="0"/>
              <w:kinsoku/>
              <w:wordWrap/>
              <w:overflowPunct/>
              <w:topLinePunct w:val="0"/>
              <w:autoSpaceDE/>
              <w:autoSpaceDN/>
              <w:bidi w:val="0"/>
              <w:adjustRightInd w:val="0"/>
              <w:snapToGrid w:val="0"/>
              <w:spacing w:line="560" w:lineRule="exact"/>
              <w:jc w:val="center"/>
              <w:rPr>
                <w:rFonts w:ascii="楷体_GB2312" w:eastAsia="楷体_GB2312"/>
                <w:sz w:val="32"/>
                <w:szCs w:val="32"/>
              </w:rPr>
            </w:pPr>
            <w:r>
              <w:rPr>
                <w:rFonts w:hint="eastAsia" w:ascii="楷体_GB2312" w:eastAsia="楷体_GB2312"/>
                <w:sz w:val="32"/>
                <w:szCs w:val="32"/>
              </w:rPr>
              <w:t>项目名称</w:t>
            </w:r>
          </w:p>
        </w:tc>
        <w:tc>
          <w:tcPr>
            <w:tcW w:w="1995" w:type="dxa"/>
            <w:vAlign w:val="center"/>
          </w:tcPr>
          <w:p>
            <w:pPr>
              <w:keepLines w:val="0"/>
              <w:pageBreakBefore w:val="0"/>
              <w:kinsoku/>
              <w:wordWrap/>
              <w:overflowPunct/>
              <w:topLinePunct w:val="0"/>
              <w:autoSpaceDE/>
              <w:autoSpaceDN/>
              <w:bidi w:val="0"/>
              <w:adjustRightInd w:val="0"/>
              <w:snapToGrid w:val="0"/>
              <w:spacing w:line="560" w:lineRule="exact"/>
              <w:jc w:val="center"/>
              <w:rPr>
                <w:rFonts w:ascii="楷体_GB2312" w:eastAsia="楷体_GB2312"/>
                <w:sz w:val="32"/>
                <w:szCs w:val="32"/>
              </w:rPr>
            </w:pPr>
            <w:r>
              <w:rPr>
                <w:rFonts w:hint="eastAsia" w:ascii="楷体_GB2312" w:eastAsia="楷体_GB2312"/>
                <w:sz w:val="32"/>
                <w:szCs w:val="32"/>
              </w:rPr>
              <w:t>总投资（亿元）</w:t>
            </w:r>
          </w:p>
        </w:tc>
        <w:tc>
          <w:tcPr>
            <w:tcW w:w="1815" w:type="dxa"/>
            <w:vAlign w:val="center"/>
          </w:tcPr>
          <w:p>
            <w:pPr>
              <w:keepLines w:val="0"/>
              <w:pageBreakBefore w:val="0"/>
              <w:kinsoku/>
              <w:wordWrap/>
              <w:overflowPunct/>
              <w:topLinePunct w:val="0"/>
              <w:autoSpaceDE/>
              <w:autoSpaceDN/>
              <w:bidi w:val="0"/>
              <w:adjustRightInd w:val="0"/>
              <w:snapToGrid w:val="0"/>
              <w:spacing w:line="560" w:lineRule="exact"/>
              <w:jc w:val="center"/>
              <w:rPr>
                <w:rFonts w:ascii="楷体_GB2312" w:eastAsia="楷体_GB2312"/>
                <w:sz w:val="32"/>
                <w:szCs w:val="32"/>
              </w:rPr>
            </w:pPr>
            <w:r>
              <w:rPr>
                <w:rFonts w:hint="eastAsia" w:ascii="楷体_GB2312" w:eastAsia="楷体_GB2312"/>
                <w:sz w:val="32"/>
                <w:szCs w:val="32"/>
              </w:rPr>
              <w:t>启动时间</w:t>
            </w:r>
          </w:p>
        </w:tc>
        <w:tc>
          <w:tcPr>
            <w:tcW w:w="1845" w:type="dxa"/>
            <w:vAlign w:val="center"/>
          </w:tcPr>
          <w:p>
            <w:pPr>
              <w:keepLines w:val="0"/>
              <w:pageBreakBefore w:val="0"/>
              <w:kinsoku/>
              <w:wordWrap/>
              <w:overflowPunct/>
              <w:topLinePunct w:val="0"/>
              <w:autoSpaceDE/>
              <w:autoSpaceDN/>
              <w:bidi w:val="0"/>
              <w:adjustRightInd w:val="0"/>
              <w:snapToGrid w:val="0"/>
              <w:spacing w:line="560" w:lineRule="exact"/>
              <w:jc w:val="center"/>
              <w:rPr>
                <w:rFonts w:ascii="楷体_GB2312" w:eastAsia="楷体_GB2312"/>
                <w:sz w:val="32"/>
                <w:szCs w:val="32"/>
              </w:rPr>
            </w:pPr>
            <w:r>
              <w:rPr>
                <w:rFonts w:hint="eastAsia" w:ascii="楷体_GB2312" w:eastAsia="楷体_GB2312"/>
                <w:sz w:val="32"/>
                <w:szCs w:val="32"/>
              </w:rPr>
              <w:t>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9" w:type="dxa"/>
            <w:vAlign w:val="center"/>
          </w:tcPr>
          <w:p>
            <w:pPr>
              <w:keepLines w:val="0"/>
              <w:pageBreakBefore w:val="0"/>
              <w:kinsoku/>
              <w:wordWrap/>
              <w:overflowPunct/>
              <w:topLinePunct w:val="0"/>
              <w:autoSpaceDE/>
              <w:autoSpaceDN/>
              <w:bidi w:val="0"/>
              <w:adjustRightInd w:val="0"/>
              <w:snapToGrid w:val="0"/>
              <w:spacing w:line="560" w:lineRule="exact"/>
              <w:jc w:val="center"/>
              <w:rPr>
                <w:rFonts w:ascii="楷体_GB2312" w:eastAsia="楷体_GB2312"/>
                <w:sz w:val="32"/>
                <w:szCs w:val="32"/>
              </w:rPr>
            </w:pPr>
          </w:p>
        </w:tc>
        <w:tc>
          <w:tcPr>
            <w:tcW w:w="2266" w:type="dxa"/>
            <w:vAlign w:val="center"/>
          </w:tcPr>
          <w:p>
            <w:pPr>
              <w:keepLines w:val="0"/>
              <w:pageBreakBefore w:val="0"/>
              <w:kinsoku/>
              <w:wordWrap/>
              <w:overflowPunct/>
              <w:topLinePunct w:val="0"/>
              <w:autoSpaceDE/>
              <w:autoSpaceDN/>
              <w:bidi w:val="0"/>
              <w:adjustRightInd w:val="0"/>
              <w:snapToGrid w:val="0"/>
              <w:spacing w:line="560" w:lineRule="exact"/>
              <w:jc w:val="center"/>
              <w:rPr>
                <w:rFonts w:ascii="楷体_GB2312" w:eastAsia="楷体_GB2312"/>
                <w:sz w:val="32"/>
                <w:szCs w:val="32"/>
              </w:rPr>
            </w:pPr>
            <w:r>
              <w:rPr>
                <w:rFonts w:hint="eastAsia" w:ascii="楷体_GB2312" w:eastAsia="楷体_GB2312"/>
                <w:sz w:val="32"/>
                <w:szCs w:val="32"/>
              </w:rPr>
              <w:t>就业</w:t>
            </w:r>
          </w:p>
        </w:tc>
        <w:tc>
          <w:tcPr>
            <w:tcW w:w="3066" w:type="dxa"/>
            <w:vAlign w:val="center"/>
          </w:tcPr>
          <w:p>
            <w:pPr>
              <w:keepLines w:val="0"/>
              <w:pageBreakBefore w:val="0"/>
              <w:kinsoku/>
              <w:wordWrap/>
              <w:overflowPunct/>
              <w:topLinePunct w:val="0"/>
              <w:autoSpaceDE/>
              <w:autoSpaceDN/>
              <w:bidi w:val="0"/>
              <w:adjustRightInd w:val="0"/>
              <w:snapToGrid w:val="0"/>
              <w:spacing w:line="560" w:lineRule="exact"/>
              <w:jc w:val="center"/>
              <w:rPr>
                <w:rFonts w:ascii="楷体_GB2312" w:eastAsia="楷体_GB2312"/>
                <w:sz w:val="32"/>
                <w:szCs w:val="32"/>
              </w:rPr>
            </w:pPr>
          </w:p>
        </w:tc>
        <w:tc>
          <w:tcPr>
            <w:tcW w:w="1995" w:type="dxa"/>
            <w:vAlign w:val="center"/>
          </w:tcPr>
          <w:p>
            <w:pPr>
              <w:keepLines w:val="0"/>
              <w:pageBreakBefore w:val="0"/>
              <w:kinsoku/>
              <w:wordWrap/>
              <w:overflowPunct/>
              <w:topLinePunct w:val="0"/>
              <w:autoSpaceDE/>
              <w:autoSpaceDN/>
              <w:bidi w:val="0"/>
              <w:adjustRightInd w:val="0"/>
              <w:snapToGrid w:val="0"/>
              <w:spacing w:line="560" w:lineRule="exact"/>
              <w:jc w:val="center"/>
              <w:rPr>
                <w:rFonts w:ascii="楷体_GB2312" w:eastAsia="楷体_GB2312"/>
                <w:sz w:val="32"/>
                <w:szCs w:val="32"/>
              </w:rPr>
            </w:pPr>
          </w:p>
        </w:tc>
        <w:tc>
          <w:tcPr>
            <w:tcW w:w="1815" w:type="dxa"/>
            <w:vAlign w:val="center"/>
          </w:tcPr>
          <w:p>
            <w:pPr>
              <w:keepLines w:val="0"/>
              <w:pageBreakBefore w:val="0"/>
              <w:kinsoku/>
              <w:wordWrap/>
              <w:overflowPunct/>
              <w:topLinePunct w:val="0"/>
              <w:autoSpaceDE/>
              <w:autoSpaceDN/>
              <w:bidi w:val="0"/>
              <w:adjustRightInd w:val="0"/>
              <w:snapToGrid w:val="0"/>
              <w:spacing w:line="560" w:lineRule="exact"/>
              <w:jc w:val="center"/>
              <w:rPr>
                <w:rFonts w:ascii="楷体_GB2312" w:eastAsia="楷体_GB2312"/>
                <w:sz w:val="32"/>
                <w:szCs w:val="32"/>
              </w:rPr>
            </w:pPr>
          </w:p>
        </w:tc>
        <w:tc>
          <w:tcPr>
            <w:tcW w:w="1845" w:type="dxa"/>
            <w:vAlign w:val="center"/>
          </w:tcPr>
          <w:p>
            <w:pPr>
              <w:keepLines w:val="0"/>
              <w:pageBreakBefore w:val="0"/>
              <w:kinsoku/>
              <w:wordWrap/>
              <w:overflowPunct/>
              <w:topLinePunct w:val="0"/>
              <w:autoSpaceDE/>
              <w:autoSpaceDN/>
              <w:bidi w:val="0"/>
              <w:adjustRightInd w:val="0"/>
              <w:snapToGrid w:val="0"/>
              <w:spacing w:line="560" w:lineRule="exact"/>
              <w:jc w:val="center"/>
              <w:rPr>
                <w:rFonts w:ascii="楷体_GB2312" w:eastAsia="楷体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9" w:type="dxa"/>
            <w:vAlign w:val="center"/>
          </w:tcPr>
          <w:p>
            <w:pPr>
              <w:keepLines w:val="0"/>
              <w:pageBreakBefore w:val="0"/>
              <w:kinsoku/>
              <w:wordWrap/>
              <w:overflowPunct/>
              <w:topLinePunct w:val="0"/>
              <w:autoSpaceDE/>
              <w:autoSpaceDN/>
              <w:bidi w:val="0"/>
              <w:adjustRightInd w:val="0"/>
              <w:snapToGrid w:val="0"/>
              <w:spacing w:line="560" w:lineRule="exact"/>
              <w:jc w:val="center"/>
              <w:rPr>
                <w:rFonts w:ascii="楷体_GB2312" w:eastAsia="楷体_GB2312"/>
                <w:sz w:val="32"/>
                <w:szCs w:val="32"/>
              </w:rPr>
            </w:pPr>
          </w:p>
        </w:tc>
        <w:tc>
          <w:tcPr>
            <w:tcW w:w="2266" w:type="dxa"/>
            <w:vAlign w:val="center"/>
          </w:tcPr>
          <w:p>
            <w:pPr>
              <w:keepLines w:val="0"/>
              <w:pageBreakBefore w:val="0"/>
              <w:kinsoku/>
              <w:wordWrap/>
              <w:overflowPunct/>
              <w:topLinePunct w:val="0"/>
              <w:autoSpaceDE/>
              <w:autoSpaceDN/>
              <w:bidi w:val="0"/>
              <w:adjustRightInd w:val="0"/>
              <w:snapToGrid w:val="0"/>
              <w:spacing w:line="560" w:lineRule="exact"/>
              <w:jc w:val="center"/>
              <w:rPr>
                <w:rFonts w:ascii="楷体_GB2312" w:eastAsia="楷体_GB2312"/>
                <w:sz w:val="32"/>
                <w:szCs w:val="32"/>
              </w:rPr>
            </w:pPr>
            <w:r>
              <w:rPr>
                <w:rFonts w:hint="eastAsia" w:ascii="楷体_GB2312" w:eastAsia="楷体_GB2312"/>
                <w:sz w:val="32"/>
                <w:szCs w:val="32"/>
              </w:rPr>
              <w:t>社会保险</w:t>
            </w:r>
          </w:p>
        </w:tc>
        <w:tc>
          <w:tcPr>
            <w:tcW w:w="3066" w:type="dxa"/>
            <w:vAlign w:val="center"/>
          </w:tcPr>
          <w:p>
            <w:pPr>
              <w:keepLines w:val="0"/>
              <w:pageBreakBefore w:val="0"/>
              <w:kinsoku/>
              <w:wordWrap/>
              <w:overflowPunct/>
              <w:topLinePunct w:val="0"/>
              <w:autoSpaceDE/>
              <w:autoSpaceDN/>
              <w:bidi w:val="0"/>
              <w:adjustRightInd w:val="0"/>
              <w:snapToGrid w:val="0"/>
              <w:spacing w:line="560" w:lineRule="exact"/>
              <w:jc w:val="center"/>
              <w:rPr>
                <w:rFonts w:ascii="楷体_GB2312" w:eastAsia="楷体_GB2312"/>
                <w:sz w:val="32"/>
                <w:szCs w:val="32"/>
              </w:rPr>
            </w:pPr>
          </w:p>
        </w:tc>
        <w:tc>
          <w:tcPr>
            <w:tcW w:w="1995" w:type="dxa"/>
            <w:vAlign w:val="center"/>
          </w:tcPr>
          <w:p>
            <w:pPr>
              <w:keepLines w:val="0"/>
              <w:pageBreakBefore w:val="0"/>
              <w:kinsoku/>
              <w:wordWrap/>
              <w:overflowPunct/>
              <w:topLinePunct w:val="0"/>
              <w:autoSpaceDE/>
              <w:autoSpaceDN/>
              <w:bidi w:val="0"/>
              <w:adjustRightInd w:val="0"/>
              <w:snapToGrid w:val="0"/>
              <w:spacing w:line="560" w:lineRule="exact"/>
              <w:jc w:val="center"/>
              <w:rPr>
                <w:rFonts w:ascii="楷体_GB2312" w:eastAsia="楷体_GB2312"/>
                <w:sz w:val="32"/>
                <w:szCs w:val="32"/>
              </w:rPr>
            </w:pPr>
          </w:p>
        </w:tc>
        <w:tc>
          <w:tcPr>
            <w:tcW w:w="1815" w:type="dxa"/>
            <w:vAlign w:val="center"/>
          </w:tcPr>
          <w:p>
            <w:pPr>
              <w:keepLines w:val="0"/>
              <w:pageBreakBefore w:val="0"/>
              <w:kinsoku/>
              <w:wordWrap/>
              <w:overflowPunct/>
              <w:topLinePunct w:val="0"/>
              <w:autoSpaceDE/>
              <w:autoSpaceDN/>
              <w:bidi w:val="0"/>
              <w:adjustRightInd w:val="0"/>
              <w:snapToGrid w:val="0"/>
              <w:spacing w:line="560" w:lineRule="exact"/>
              <w:jc w:val="center"/>
              <w:rPr>
                <w:rFonts w:ascii="楷体_GB2312" w:eastAsia="楷体_GB2312"/>
                <w:sz w:val="32"/>
                <w:szCs w:val="32"/>
              </w:rPr>
            </w:pPr>
          </w:p>
        </w:tc>
        <w:tc>
          <w:tcPr>
            <w:tcW w:w="1845" w:type="dxa"/>
            <w:vAlign w:val="center"/>
          </w:tcPr>
          <w:p>
            <w:pPr>
              <w:keepLines w:val="0"/>
              <w:pageBreakBefore w:val="0"/>
              <w:kinsoku/>
              <w:wordWrap/>
              <w:overflowPunct/>
              <w:topLinePunct w:val="0"/>
              <w:autoSpaceDE/>
              <w:autoSpaceDN/>
              <w:bidi w:val="0"/>
              <w:adjustRightInd w:val="0"/>
              <w:snapToGrid w:val="0"/>
              <w:spacing w:line="560" w:lineRule="exact"/>
              <w:jc w:val="center"/>
              <w:rPr>
                <w:rFonts w:ascii="楷体_GB2312" w:eastAsia="楷体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99" w:type="dxa"/>
            <w:vAlign w:val="center"/>
          </w:tcPr>
          <w:p>
            <w:pPr>
              <w:keepLines w:val="0"/>
              <w:pageBreakBefore w:val="0"/>
              <w:kinsoku/>
              <w:wordWrap/>
              <w:overflowPunct/>
              <w:topLinePunct w:val="0"/>
              <w:autoSpaceDE/>
              <w:autoSpaceDN/>
              <w:bidi w:val="0"/>
              <w:adjustRightInd w:val="0"/>
              <w:snapToGrid w:val="0"/>
              <w:spacing w:line="560" w:lineRule="exact"/>
              <w:jc w:val="center"/>
              <w:rPr>
                <w:rFonts w:hint="eastAsia" w:ascii="楷体_GB2312" w:eastAsia="楷体_GB2312"/>
                <w:sz w:val="32"/>
                <w:szCs w:val="32"/>
                <w:lang w:val="en-US" w:eastAsia="zh-CN"/>
              </w:rPr>
            </w:pPr>
            <w:r>
              <w:rPr>
                <w:rFonts w:hint="eastAsia" w:ascii="楷体_GB2312" w:eastAsia="楷体_GB2312"/>
                <w:sz w:val="32"/>
                <w:szCs w:val="32"/>
                <w:lang w:val="en-US" w:eastAsia="zh-CN"/>
              </w:rPr>
              <w:t>1</w:t>
            </w:r>
          </w:p>
        </w:tc>
        <w:tc>
          <w:tcPr>
            <w:tcW w:w="2266" w:type="dxa"/>
            <w:vAlign w:val="center"/>
          </w:tcPr>
          <w:p>
            <w:pPr>
              <w:keepLines w:val="0"/>
              <w:pageBreakBefore w:val="0"/>
              <w:tabs>
                <w:tab w:val="left" w:pos="554"/>
              </w:tabs>
              <w:kinsoku/>
              <w:wordWrap/>
              <w:overflowPunct/>
              <w:topLinePunct w:val="0"/>
              <w:autoSpaceDE/>
              <w:autoSpaceDN/>
              <w:bidi w:val="0"/>
              <w:adjustRightInd w:val="0"/>
              <w:snapToGrid w:val="0"/>
              <w:spacing w:line="560" w:lineRule="exact"/>
              <w:jc w:val="left"/>
              <w:rPr>
                <w:rFonts w:hint="eastAsia" w:ascii="楷体_GB2312" w:eastAsia="楷体_GB2312"/>
                <w:sz w:val="32"/>
                <w:szCs w:val="32"/>
                <w:lang w:eastAsia="zh-CN"/>
              </w:rPr>
            </w:pPr>
            <w:r>
              <w:rPr>
                <w:rFonts w:hint="eastAsia" w:ascii="楷体_GB2312" w:eastAsia="楷体_GB2312"/>
                <w:sz w:val="32"/>
                <w:szCs w:val="32"/>
                <w:lang w:eastAsia="zh-CN"/>
              </w:rPr>
              <w:tab/>
            </w:r>
          </w:p>
        </w:tc>
        <w:tc>
          <w:tcPr>
            <w:tcW w:w="3066" w:type="dxa"/>
            <w:vAlign w:val="center"/>
          </w:tcPr>
          <w:p>
            <w:pPr>
              <w:keepLines w:val="0"/>
              <w:pageBreakBefore w:val="0"/>
              <w:kinsoku/>
              <w:wordWrap/>
              <w:overflowPunct/>
              <w:topLinePunct w:val="0"/>
              <w:autoSpaceDE/>
              <w:autoSpaceDN/>
              <w:bidi w:val="0"/>
              <w:adjustRightInd w:val="0"/>
              <w:snapToGrid w:val="0"/>
              <w:spacing w:line="560" w:lineRule="exact"/>
              <w:jc w:val="center"/>
              <w:rPr>
                <w:rFonts w:ascii="楷体_GB2312" w:eastAsia="楷体_GB2312"/>
                <w:sz w:val="32"/>
                <w:szCs w:val="32"/>
              </w:rPr>
            </w:pPr>
            <w:r>
              <w:rPr>
                <w:rFonts w:hint="eastAsia" w:ascii="楷体_GB2312" w:eastAsia="楷体_GB2312"/>
                <w:sz w:val="32"/>
                <w:szCs w:val="32"/>
              </w:rPr>
              <w:t>汕尾市城区人力资源社会保障综合服务中心建设项目</w:t>
            </w:r>
          </w:p>
        </w:tc>
        <w:tc>
          <w:tcPr>
            <w:tcW w:w="1995" w:type="dxa"/>
            <w:vAlign w:val="center"/>
          </w:tcPr>
          <w:p>
            <w:pPr>
              <w:keepLines w:val="0"/>
              <w:pageBreakBefore w:val="0"/>
              <w:kinsoku/>
              <w:wordWrap/>
              <w:overflowPunct/>
              <w:topLinePunct w:val="0"/>
              <w:autoSpaceDE/>
              <w:autoSpaceDN/>
              <w:bidi w:val="0"/>
              <w:adjustRightInd w:val="0"/>
              <w:snapToGrid w:val="0"/>
              <w:spacing w:line="560" w:lineRule="exact"/>
              <w:jc w:val="center"/>
              <w:rPr>
                <w:rFonts w:hint="default" w:ascii="楷体_GB2312" w:eastAsia="楷体_GB2312"/>
                <w:sz w:val="32"/>
                <w:szCs w:val="32"/>
                <w:lang w:val="en-US" w:eastAsia="zh-CN"/>
              </w:rPr>
            </w:pPr>
            <w:r>
              <w:rPr>
                <w:rFonts w:hint="eastAsia" w:ascii="楷体_GB2312" w:eastAsia="楷体_GB2312"/>
                <w:sz w:val="32"/>
                <w:szCs w:val="32"/>
                <w:lang w:val="en-US" w:eastAsia="zh-CN"/>
              </w:rPr>
              <w:t>0.35</w:t>
            </w:r>
          </w:p>
        </w:tc>
        <w:tc>
          <w:tcPr>
            <w:tcW w:w="1815" w:type="dxa"/>
            <w:vAlign w:val="center"/>
          </w:tcPr>
          <w:p>
            <w:pPr>
              <w:keepLines w:val="0"/>
              <w:pageBreakBefore w:val="0"/>
              <w:kinsoku/>
              <w:wordWrap/>
              <w:overflowPunct/>
              <w:topLinePunct w:val="0"/>
              <w:autoSpaceDE/>
              <w:autoSpaceDN/>
              <w:bidi w:val="0"/>
              <w:adjustRightInd w:val="0"/>
              <w:snapToGrid w:val="0"/>
              <w:spacing w:line="560" w:lineRule="exact"/>
              <w:jc w:val="center"/>
              <w:rPr>
                <w:rFonts w:hint="default" w:ascii="楷体_GB2312" w:eastAsia="楷体_GB2312"/>
                <w:sz w:val="32"/>
                <w:szCs w:val="32"/>
                <w:lang w:val="en-US" w:eastAsia="zh-CN"/>
              </w:rPr>
            </w:pPr>
            <w:r>
              <w:rPr>
                <w:rFonts w:hint="eastAsia" w:ascii="楷体_GB2312" w:eastAsia="楷体_GB2312"/>
                <w:sz w:val="32"/>
                <w:szCs w:val="32"/>
                <w:lang w:val="en-US" w:eastAsia="zh-CN"/>
              </w:rPr>
              <w:t>2020</w:t>
            </w:r>
          </w:p>
        </w:tc>
        <w:tc>
          <w:tcPr>
            <w:tcW w:w="1845" w:type="dxa"/>
            <w:vAlign w:val="center"/>
          </w:tcPr>
          <w:p>
            <w:pPr>
              <w:keepLines w:val="0"/>
              <w:pageBreakBefore w:val="0"/>
              <w:kinsoku/>
              <w:wordWrap/>
              <w:overflowPunct/>
              <w:topLinePunct w:val="0"/>
              <w:autoSpaceDE/>
              <w:autoSpaceDN/>
              <w:bidi w:val="0"/>
              <w:adjustRightInd w:val="0"/>
              <w:snapToGrid w:val="0"/>
              <w:spacing w:line="560" w:lineRule="exact"/>
              <w:jc w:val="center"/>
              <w:rPr>
                <w:rFonts w:hint="default" w:ascii="楷体_GB2312" w:eastAsia="楷体_GB2312"/>
                <w:sz w:val="32"/>
                <w:szCs w:val="32"/>
                <w:lang w:val="en-US" w:eastAsia="zh-CN"/>
              </w:rPr>
            </w:pPr>
            <w:r>
              <w:rPr>
                <w:rFonts w:hint="eastAsia" w:ascii="楷体_GB2312" w:eastAsia="楷体_GB2312"/>
                <w:sz w:val="32"/>
                <w:szCs w:val="32"/>
                <w:lang w:val="en-US" w:eastAsia="zh-CN"/>
              </w:rPr>
              <w:t>2023</w:t>
            </w:r>
          </w:p>
        </w:tc>
      </w:tr>
    </w:tbl>
    <w:p>
      <w:pPr>
        <w:keepLines w:val="0"/>
        <w:pageBreakBefore w:val="0"/>
        <w:kinsoku/>
        <w:wordWrap/>
        <w:overflowPunct/>
        <w:topLinePunct w:val="0"/>
        <w:autoSpaceDE/>
        <w:autoSpaceDN/>
        <w:bidi w:val="0"/>
        <w:spacing w:line="560" w:lineRule="exact"/>
      </w:pPr>
    </w:p>
    <w:sectPr>
      <w:pgSz w:w="15840" w:h="12240" w:orient="landscape"/>
      <w:pgMar w:top="1797" w:right="1440" w:bottom="1797" w:left="144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仿宋-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82416437"/>
    </w:sdtPr>
    <w:sdtEndPr>
      <w:rPr>
        <w:rFonts w:asciiTheme="minorEastAsia" w:hAnsiTheme="minorEastAsia"/>
        <w:sz w:val="24"/>
        <w:szCs w:val="24"/>
      </w:rPr>
    </w:sdtEndPr>
    <w:sdtContent>
      <w:p>
        <w:pPr>
          <w:pStyle w:val="8"/>
          <w:jc w:val="center"/>
          <w:rPr>
            <w:rFonts w:asciiTheme="minorEastAsia" w:hAnsiTheme="minorEastAsia"/>
            <w:sz w:val="24"/>
            <w:szCs w:val="24"/>
          </w:rPr>
        </w:pPr>
        <w:r>
          <w:rPr>
            <w:rFonts w:asciiTheme="minorEastAsia" w:hAnsiTheme="minorEastAsia"/>
            <w:sz w:val="24"/>
            <w:szCs w:val="24"/>
          </w:rPr>
          <w:fldChar w:fldCharType="begin"/>
        </w:r>
        <w:r>
          <w:rPr>
            <w:rFonts w:asciiTheme="minorEastAsia" w:hAnsiTheme="minorEastAsia"/>
            <w:sz w:val="24"/>
            <w:szCs w:val="24"/>
          </w:rPr>
          <w:instrText xml:space="preserve">PAGE   \* MERGEFORMAT</w:instrText>
        </w:r>
        <w:r>
          <w:rPr>
            <w:rFonts w:asciiTheme="minorEastAsia" w:hAnsiTheme="minorEastAsia"/>
            <w:sz w:val="24"/>
            <w:szCs w:val="24"/>
          </w:rPr>
          <w:fldChar w:fldCharType="separate"/>
        </w:r>
        <w:r>
          <w:rPr>
            <w:rFonts w:asciiTheme="minorEastAsia" w:hAnsiTheme="minorEastAsia"/>
            <w:sz w:val="24"/>
            <w:szCs w:val="24"/>
            <w:lang w:val="zh-CN"/>
          </w:rPr>
          <w:t>1</w:t>
        </w:r>
        <w:r>
          <w:rPr>
            <w:rFonts w:asciiTheme="minorEastAsia" w:hAnsiTheme="minorEastAsia"/>
            <w:sz w:val="24"/>
            <w:szCs w:val="24"/>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C94514"/>
    <w:multiLevelType w:val="singleLevel"/>
    <w:tmpl w:val="B9C94514"/>
    <w:lvl w:ilvl="0" w:tentative="0">
      <w:start w:val="7"/>
      <w:numFmt w:val="chineseCounting"/>
      <w:suff w:val="space"/>
      <w:lvlText w:val="第%1章"/>
      <w:lvlJc w:val="left"/>
      <w:rPr>
        <w:rFonts w:hint="eastAsia"/>
      </w:rPr>
    </w:lvl>
  </w:abstractNum>
  <w:abstractNum w:abstractNumId="1">
    <w:nsid w:val="47A7BB90"/>
    <w:multiLevelType w:val="singleLevel"/>
    <w:tmpl w:val="47A7BB90"/>
    <w:lvl w:ilvl="0" w:tentative="0">
      <w:start w:val="9"/>
      <w:numFmt w:val="chineseCounting"/>
      <w:suff w:val="space"/>
      <w:lvlText w:val="第%1章"/>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0A67"/>
    <w:rsid w:val="00006A1B"/>
    <w:rsid w:val="00053EE5"/>
    <w:rsid w:val="000578E9"/>
    <w:rsid w:val="00070AE4"/>
    <w:rsid w:val="0008592B"/>
    <w:rsid w:val="000A0D79"/>
    <w:rsid w:val="000D7665"/>
    <w:rsid w:val="000E0A67"/>
    <w:rsid w:val="00155BBA"/>
    <w:rsid w:val="001644A7"/>
    <w:rsid w:val="00165EF7"/>
    <w:rsid w:val="00167E6F"/>
    <w:rsid w:val="00172C4C"/>
    <w:rsid w:val="001D138E"/>
    <w:rsid w:val="002075C1"/>
    <w:rsid w:val="002E365D"/>
    <w:rsid w:val="00324AA0"/>
    <w:rsid w:val="00344769"/>
    <w:rsid w:val="00362B0B"/>
    <w:rsid w:val="00373BF8"/>
    <w:rsid w:val="00374087"/>
    <w:rsid w:val="00376202"/>
    <w:rsid w:val="003A6A99"/>
    <w:rsid w:val="003B2904"/>
    <w:rsid w:val="003D0434"/>
    <w:rsid w:val="004331F1"/>
    <w:rsid w:val="0043549F"/>
    <w:rsid w:val="0046220F"/>
    <w:rsid w:val="00482B7D"/>
    <w:rsid w:val="004D491D"/>
    <w:rsid w:val="00546EDD"/>
    <w:rsid w:val="0058549D"/>
    <w:rsid w:val="00597CE0"/>
    <w:rsid w:val="005A4C8C"/>
    <w:rsid w:val="005F73DF"/>
    <w:rsid w:val="006363BF"/>
    <w:rsid w:val="00675B24"/>
    <w:rsid w:val="006A032F"/>
    <w:rsid w:val="006B432A"/>
    <w:rsid w:val="006B57D9"/>
    <w:rsid w:val="006B7D0B"/>
    <w:rsid w:val="00734148"/>
    <w:rsid w:val="00736310"/>
    <w:rsid w:val="007417D4"/>
    <w:rsid w:val="00742ADF"/>
    <w:rsid w:val="007962EE"/>
    <w:rsid w:val="007B4C18"/>
    <w:rsid w:val="008500B0"/>
    <w:rsid w:val="00851D2C"/>
    <w:rsid w:val="008523B9"/>
    <w:rsid w:val="00861D9D"/>
    <w:rsid w:val="00880D58"/>
    <w:rsid w:val="008960D5"/>
    <w:rsid w:val="008A7B5F"/>
    <w:rsid w:val="008C5777"/>
    <w:rsid w:val="008F28FF"/>
    <w:rsid w:val="00900261"/>
    <w:rsid w:val="00917A9D"/>
    <w:rsid w:val="00935913"/>
    <w:rsid w:val="00952D89"/>
    <w:rsid w:val="009D327E"/>
    <w:rsid w:val="009F1408"/>
    <w:rsid w:val="00A31438"/>
    <w:rsid w:val="00A508D1"/>
    <w:rsid w:val="00A51808"/>
    <w:rsid w:val="00A84423"/>
    <w:rsid w:val="00A92CBE"/>
    <w:rsid w:val="00AC1CF8"/>
    <w:rsid w:val="00AE6862"/>
    <w:rsid w:val="00AE7B5D"/>
    <w:rsid w:val="00AF2413"/>
    <w:rsid w:val="00B75D04"/>
    <w:rsid w:val="00BC00BC"/>
    <w:rsid w:val="00BE4F99"/>
    <w:rsid w:val="00BF01E6"/>
    <w:rsid w:val="00BF4D78"/>
    <w:rsid w:val="00C0624D"/>
    <w:rsid w:val="00C612EC"/>
    <w:rsid w:val="00CB7646"/>
    <w:rsid w:val="00CD3517"/>
    <w:rsid w:val="00CD3CFE"/>
    <w:rsid w:val="00D31F50"/>
    <w:rsid w:val="00D94E23"/>
    <w:rsid w:val="00DB2512"/>
    <w:rsid w:val="00DC24FC"/>
    <w:rsid w:val="00E01EE5"/>
    <w:rsid w:val="00E1013A"/>
    <w:rsid w:val="00E22539"/>
    <w:rsid w:val="00E339F1"/>
    <w:rsid w:val="00E538C4"/>
    <w:rsid w:val="00E7454C"/>
    <w:rsid w:val="00E90CD9"/>
    <w:rsid w:val="00EA5176"/>
    <w:rsid w:val="00EC2CDA"/>
    <w:rsid w:val="00F03C27"/>
    <w:rsid w:val="00F05433"/>
    <w:rsid w:val="00F338F7"/>
    <w:rsid w:val="00F60BC3"/>
    <w:rsid w:val="00F8496E"/>
    <w:rsid w:val="00FE0748"/>
    <w:rsid w:val="00FE79E6"/>
    <w:rsid w:val="01052010"/>
    <w:rsid w:val="01282E62"/>
    <w:rsid w:val="01304A6D"/>
    <w:rsid w:val="01532B32"/>
    <w:rsid w:val="01C476EE"/>
    <w:rsid w:val="01EC5E17"/>
    <w:rsid w:val="02110B3C"/>
    <w:rsid w:val="02847A88"/>
    <w:rsid w:val="03A24E08"/>
    <w:rsid w:val="04584926"/>
    <w:rsid w:val="06BA455D"/>
    <w:rsid w:val="07153E89"/>
    <w:rsid w:val="072A0337"/>
    <w:rsid w:val="07AA0EFE"/>
    <w:rsid w:val="07D56F36"/>
    <w:rsid w:val="09E4513E"/>
    <w:rsid w:val="0B9875E5"/>
    <w:rsid w:val="0BAC66DF"/>
    <w:rsid w:val="0C0F2239"/>
    <w:rsid w:val="0C143FBD"/>
    <w:rsid w:val="0C1E7BF8"/>
    <w:rsid w:val="0CB52C57"/>
    <w:rsid w:val="0D1B0366"/>
    <w:rsid w:val="0D4378A2"/>
    <w:rsid w:val="0D892EDB"/>
    <w:rsid w:val="0EF97E46"/>
    <w:rsid w:val="0FAC1B85"/>
    <w:rsid w:val="10AC13BA"/>
    <w:rsid w:val="1158124A"/>
    <w:rsid w:val="12253B95"/>
    <w:rsid w:val="12A30ED6"/>
    <w:rsid w:val="13E343D7"/>
    <w:rsid w:val="13E742AD"/>
    <w:rsid w:val="14CE051F"/>
    <w:rsid w:val="14CF3D09"/>
    <w:rsid w:val="156F29B6"/>
    <w:rsid w:val="16592792"/>
    <w:rsid w:val="168C1F1B"/>
    <w:rsid w:val="173A2DBA"/>
    <w:rsid w:val="17861706"/>
    <w:rsid w:val="17DC63BD"/>
    <w:rsid w:val="17E92C40"/>
    <w:rsid w:val="189F358D"/>
    <w:rsid w:val="18A618E4"/>
    <w:rsid w:val="19D25281"/>
    <w:rsid w:val="1A7726C5"/>
    <w:rsid w:val="1B495A57"/>
    <w:rsid w:val="1B724FAE"/>
    <w:rsid w:val="1D4209B0"/>
    <w:rsid w:val="1E581CFE"/>
    <w:rsid w:val="1ED8781E"/>
    <w:rsid w:val="20106833"/>
    <w:rsid w:val="20EC0B19"/>
    <w:rsid w:val="21B42AD6"/>
    <w:rsid w:val="21FC3431"/>
    <w:rsid w:val="23455B71"/>
    <w:rsid w:val="25D43B9F"/>
    <w:rsid w:val="2717504A"/>
    <w:rsid w:val="2730755F"/>
    <w:rsid w:val="28920480"/>
    <w:rsid w:val="28E84B02"/>
    <w:rsid w:val="2B47039E"/>
    <w:rsid w:val="2CE7345E"/>
    <w:rsid w:val="2D4B4871"/>
    <w:rsid w:val="2E232138"/>
    <w:rsid w:val="2E8D1A7C"/>
    <w:rsid w:val="2E9A7907"/>
    <w:rsid w:val="2EBE7AA1"/>
    <w:rsid w:val="2F452CAE"/>
    <w:rsid w:val="2FCD79A7"/>
    <w:rsid w:val="2FDA7FBE"/>
    <w:rsid w:val="30EF75DF"/>
    <w:rsid w:val="3104732E"/>
    <w:rsid w:val="319B4282"/>
    <w:rsid w:val="31AC3642"/>
    <w:rsid w:val="31C82ABA"/>
    <w:rsid w:val="323C7542"/>
    <w:rsid w:val="32846D19"/>
    <w:rsid w:val="329D378B"/>
    <w:rsid w:val="32A46160"/>
    <w:rsid w:val="332928F2"/>
    <w:rsid w:val="336F1825"/>
    <w:rsid w:val="34291253"/>
    <w:rsid w:val="349D22C0"/>
    <w:rsid w:val="36DF4569"/>
    <w:rsid w:val="379268C1"/>
    <w:rsid w:val="38056987"/>
    <w:rsid w:val="38486C0E"/>
    <w:rsid w:val="3933368E"/>
    <w:rsid w:val="3A9D66C5"/>
    <w:rsid w:val="3ACE7FFB"/>
    <w:rsid w:val="3CF33216"/>
    <w:rsid w:val="3DDF2077"/>
    <w:rsid w:val="3DF24AD0"/>
    <w:rsid w:val="3EAF2804"/>
    <w:rsid w:val="3EB077EE"/>
    <w:rsid w:val="3F6C08A3"/>
    <w:rsid w:val="3FD91CE7"/>
    <w:rsid w:val="408700F6"/>
    <w:rsid w:val="41A629FA"/>
    <w:rsid w:val="421F44F3"/>
    <w:rsid w:val="422E137F"/>
    <w:rsid w:val="42F17BD1"/>
    <w:rsid w:val="42FC398F"/>
    <w:rsid w:val="457058F3"/>
    <w:rsid w:val="4636055A"/>
    <w:rsid w:val="46A774E5"/>
    <w:rsid w:val="46C7182E"/>
    <w:rsid w:val="46DC2848"/>
    <w:rsid w:val="473F384E"/>
    <w:rsid w:val="483917B9"/>
    <w:rsid w:val="487970CD"/>
    <w:rsid w:val="49A03796"/>
    <w:rsid w:val="4AE4195E"/>
    <w:rsid w:val="4BD018D3"/>
    <w:rsid w:val="4D420407"/>
    <w:rsid w:val="4D923502"/>
    <w:rsid w:val="4E6E1D32"/>
    <w:rsid w:val="4F0C36E3"/>
    <w:rsid w:val="4F2908CF"/>
    <w:rsid w:val="50016328"/>
    <w:rsid w:val="50331AC5"/>
    <w:rsid w:val="53C464A1"/>
    <w:rsid w:val="54381744"/>
    <w:rsid w:val="543903A5"/>
    <w:rsid w:val="549870A0"/>
    <w:rsid w:val="56105A54"/>
    <w:rsid w:val="56701E55"/>
    <w:rsid w:val="56BB4098"/>
    <w:rsid w:val="571E096B"/>
    <w:rsid w:val="572C48AA"/>
    <w:rsid w:val="573B5393"/>
    <w:rsid w:val="577662BF"/>
    <w:rsid w:val="57C57C38"/>
    <w:rsid w:val="57CD392D"/>
    <w:rsid w:val="57F77222"/>
    <w:rsid w:val="58602A02"/>
    <w:rsid w:val="59513226"/>
    <w:rsid w:val="5A9A6CCB"/>
    <w:rsid w:val="5B3C1952"/>
    <w:rsid w:val="5DCA4F48"/>
    <w:rsid w:val="5DEC200B"/>
    <w:rsid w:val="5F00089C"/>
    <w:rsid w:val="60C400AE"/>
    <w:rsid w:val="60C74A21"/>
    <w:rsid w:val="623600B0"/>
    <w:rsid w:val="62C531E2"/>
    <w:rsid w:val="62DD3E94"/>
    <w:rsid w:val="631468FE"/>
    <w:rsid w:val="63B91ABB"/>
    <w:rsid w:val="63E50CEC"/>
    <w:rsid w:val="655E16AA"/>
    <w:rsid w:val="66E1374B"/>
    <w:rsid w:val="670D0E9E"/>
    <w:rsid w:val="67204E8B"/>
    <w:rsid w:val="67683AD1"/>
    <w:rsid w:val="679145C7"/>
    <w:rsid w:val="68140F8B"/>
    <w:rsid w:val="69362744"/>
    <w:rsid w:val="698A2A90"/>
    <w:rsid w:val="69967687"/>
    <w:rsid w:val="69DC778F"/>
    <w:rsid w:val="6ADE22CF"/>
    <w:rsid w:val="6AF75D72"/>
    <w:rsid w:val="6C1442C8"/>
    <w:rsid w:val="6C74669B"/>
    <w:rsid w:val="6E1761E8"/>
    <w:rsid w:val="6E3F016F"/>
    <w:rsid w:val="6F2B2799"/>
    <w:rsid w:val="6F6D49E6"/>
    <w:rsid w:val="6F8B7A92"/>
    <w:rsid w:val="6FB928EE"/>
    <w:rsid w:val="6FBA46FC"/>
    <w:rsid w:val="7064403B"/>
    <w:rsid w:val="7099263B"/>
    <w:rsid w:val="725D0A92"/>
    <w:rsid w:val="729017F1"/>
    <w:rsid w:val="729C4303"/>
    <w:rsid w:val="73E44A38"/>
    <w:rsid w:val="74545778"/>
    <w:rsid w:val="748F408B"/>
    <w:rsid w:val="74A24D5F"/>
    <w:rsid w:val="75A03D67"/>
    <w:rsid w:val="75B01AD0"/>
    <w:rsid w:val="7640594D"/>
    <w:rsid w:val="766B0D4A"/>
    <w:rsid w:val="769F5250"/>
    <w:rsid w:val="76CC7E69"/>
    <w:rsid w:val="76DE41F1"/>
    <w:rsid w:val="77DE0FDE"/>
    <w:rsid w:val="7AA74DA3"/>
    <w:rsid w:val="7B7570F3"/>
    <w:rsid w:val="7C9B5288"/>
    <w:rsid w:val="7D0223B1"/>
    <w:rsid w:val="7DE4166B"/>
    <w:rsid w:val="7F9D30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4"/>
    <w:qFormat/>
    <w:uiPriority w:val="0"/>
    <w:pPr>
      <w:spacing w:after="160" w:line="259" w:lineRule="auto"/>
      <w:jc w:val="left"/>
      <w:outlineLvl w:val="0"/>
    </w:pPr>
    <w:rPr>
      <w:rFonts w:ascii="宋体" w:hAnsi="宋体" w:eastAsia="宋体" w:cs="Times New Roman"/>
      <w:b/>
      <w:kern w:val="44"/>
      <w:sz w:val="48"/>
      <w:szCs w:val="48"/>
      <w:lang w:val="zh-CN" w:eastAsia="zh-CN"/>
    </w:rPr>
  </w:style>
  <w:style w:type="paragraph" w:styleId="4">
    <w:name w:val="heading 2"/>
    <w:basedOn w:val="1"/>
    <w:next w:val="1"/>
    <w:link w:val="18"/>
    <w:qFormat/>
    <w:uiPriority w:val="0"/>
    <w:pPr>
      <w:keepNext/>
      <w:keepLines/>
      <w:spacing w:before="260" w:after="260" w:line="413" w:lineRule="auto"/>
      <w:outlineLvl w:val="1"/>
    </w:pPr>
    <w:rPr>
      <w:rFonts w:ascii="Arial" w:hAnsi="Arial" w:eastAsia="黑体" w:cs="Times New Roman"/>
      <w:b/>
      <w:sz w:val="32"/>
      <w:szCs w:val="32"/>
    </w:rPr>
  </w:style>
  <w:style w:type="paragraph" w:styleId="5">
    <w:name w:val="heading 3"/>
    <w:basedOn w:val="1"/>
    <w:next w:val="1"/>
    <w:link w:val="23"/>
    <w:unhideWhenUsed/>
    <w:qFormat/>
    <w:uiPriority w:val="9"/>
    <w:pPr>
      <w:keepNext/>
      <w:keepLines/>
      <w:spacing w:before="260" w:after="260" w:line="416" w:lineRule="auto"/>
      <w:outlineLvl w:val="2"/>
    </w:pPr>
    <w:rPr>
      <w:b/>
      <w:bCs/>
      <w:sz w:val="32"/>
      <w:szCs w:val="32"/>
    </w:rPr>
  </w:style>
  <w:style w:type="character" w:default="1" w:styleId="15">
    <w:name w:val="Default Paragraph Font"/>
    <w:unhideWhenUsed/>
    <w:qFormat/>
    <w:uiPriority w:val="1"/>
  </w:style>
  <w:style w:type="table" w:default="1" w:styleId="13">
    <w:name w:val="Normal Table"/>
    <w:unhideWhenUsed/>
    <w:qFormat/>
    <w:uiPriority w:val="99"/>
    <w:tblPr>
      <w:tblCellMar>
        <w:top w:w="0" w:type="dxa"/>
        <w:left w:w="108" w:type="dxa"/>
        <w:bottom w:w="0" w:type="dxa"/>
        <w:right w:w="108" w:type="dxa"/>
      </w:tblCellMar>
    </w:tblPr>
  </w:style>
  <w:style w:type="paragraph" w:styleId="2">
    <w:name w:val="toc 2"/>
    <w:basedOn w:val="1"/>
    <w:next w:val="1"/>
    <w:unhideWhenUsed/>
    <w:qFormat/>
    <w:uiPriority w:val="39"/>
    <w:pPr>
      <w:ind w:left="420" w:leftChars="200"/>
    </w:pPr>
  </w:style>
  <w:style w:type="paragraph" w:styleId="6">
    <w:name w:val="index 5"/>
    <w:basedOn w:val="1"/>
    <w:next w:val="1"/>
    <w:qFormat/>
    <w:uiPriority w:val="0"/>
    <w:pPr>
      <w:ind w:left="1680"/>
    </w:pPr>
  </w:style>
  <w:style w:type="paragraph" w:styleId="7">
    <w:name w:val="Body Text"/>
    <w:basedOn w:val="1"/>
    <w:next w:val="8"/>
    <w:link w:val="21"/>
    <w:qFormat/>
    <w:uiPriority w:val="0"/>
    <w:pPr>
      <w:spacing w:after="120"/>
    </w:pPr>
    <w:rPr>
      <w:rFonts w:eastAsia="仿宋_GB2312"/>
      <w:sz w:val="32"/>
      <w:szCs w:val="32"/>
    </w:rPr>
  </w:style>
  <w:style w:type="paragraph" w:styleId="8">
    <w:name w:val="footer"/>
    <w:basedOn w:val="1"/>
    <w:next w:val="6"/>
    <w:link w:val="26"/>
    <w:unhideWhenUsed/>
    <w:qFormat/>
    <w:uiPriority w:val="99"/>
    <w:pPr>
      <w:tabs>
        <w:tab w:val="center" w:pos="4153"/>
        <w:tab w:val="right" w:pos="8306"/>
      </w:tabs>
      <w:snapToGrid w:val="0"/>
      <w:jc w:val="left"/>
    </w:pPr>
    <w:rPr>
      <w:sz w:val="18"/>
      <w:szCs w:val="18"/>
    </w:rPr>
  </w:style>
  <w:style w:type="paragraph" w:styleId="9">
    <w:name w:val="header"/>
    <w:basedOn w:val="1"/>
    <w:link w:val="25"/>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style>
  <w:style w:type="paragraph" w:styleId="11">
    <w:name w:val="Body Text First Indent"/>
    <w:basedOn w:val="7"/>
    <w:unhideWhenUsed/>
    <w:qFormat/>
    <w:uiPriority w:val="99"/>
    <w:pPr>
      <w:ind w:firstLine="420" w:firstLineChars="100"/>
    </w:pPr>
  </w:style>
  <w:style w:type="paragraph" w:styleId="12">
    <w:name w:val="Body Text First Indent 2"/>
    <w:basedOn w:val="1"/>
    <w:next w:val="1"/>
    <w:unhideWhenUsed/>
    <w:qFormat/>
    <w:uiPriority w:val="0"/>
    <w:pPr>
      <w:ind w:firstLine="420" w:firstLineChars="200"/>
    </w:pPr>
  </w:style>
  <w:style w:type="table" w:styleId="14">
    <w:name w:val="Table Grid"/>
    <w:basedOn w:val="1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Hyperlink"/>
    <w:basedOn w:val="15"/>
    <w:unhideWhenUsed/>
    <w:qFormat/>
    <w:uiPriority w:val="99"/>
    <w:rPr>
      <w:color w:val="0000FF" w:themeColor="hyperlink"/>
      <w:u w:val="single"/>
      <w14:textFill>
        <w14:solidFill>
          <w14:schemeClr w14:val="hlink"/>
        </w14:solidFill>
      </w14:textFill>
    </w:rPr>
  </w:style>
  <w:style w:type="character" w:customStyle="1" w:styleId="17">
    <w:name w:val="NormalCharacter"/>
    <w:semiHidden/>
    <w:qFormat/>
    <w:uiPriority w:val="0"/>
  </w:style>
  <w:style w:type="character" w:customStyle="1" w:styleId="18">
    <w:name w:val="标题 2 Char"/>
    <w:basedOn w:val="15"/>
    <w:link w:val="4"/>
    <w:qFormat/>
    <w:uiPriority w:val="0"/>
    <w:rPr>
      <w:rFonts w:ascii="Arial" w:hAnsi="Arial" w:eastAsia="黑体" w:cs="Times New Roman"/>
      <w:b/>
      <w:sz w:val="32"/>
      <w:szCs w:val="32"/>
    </w:rPr>
  </w:style>
  <w:style w:type="character" w:customStyle="1" w:styleId="19">
    <w:name w:val="Body text|1_"/>
    <w:basedOn w:val="15"/>
    <w:link w:val="20"/>
    <w:qFormat/>
    <w:uiPriority w:val="0"/>
    <w:rPr>
      <w:rFonts w:ascii="宋体" w:hAnsi="宋体" w:cs="宋体"/>
      <w:sz w:val="26"/>
      <w:szCs w:val="26"/>
      <w:lang w:val="zh-TW" w:eastAsia="zh-TW" w:bidi="zh-TW"/>
    </w:rPr>
  </w:style>
  <w:style w:type="paragraph" w:customStyle="1" w:styleId="20">
    <w:name w:val="Body text|1"/>
    <w:basedOn w:val="1"/>
    <w:link w:val="19"/>
    <w:qFormat/>
    <w:uiPriority w:val="0"/>
    <w:pPr>
      <w:spacing w:line="468" w:lineRule="auto"/>
      <w:ind w:firstLine="400"/>
      <w:jc w:val="left"/>
    </w:pPr>
    <w:rPr>
      <w:rFonts w:ascii="宋体" w:hAnsi="宋体" w:cs="宋体"/>
      <w:sz w:val="26"/>
      <w:szCs w:val="26"/>
      <w:lang w:val="zh-TW" w:eastAsia="zh-TW" w:bidi="zh-TW"/>
    </w:rPr>
  </w:style>
  <w:style w:type="character" w:customStyle="1" w:styleId="21">
    <w:name w:val="正文文本 Char"/>
    <w:basedOn w:val="15"/>
    <w:link w:val="7"/>
    <w:qFormat/>
    <w:uiPriority w:val="0"/>
    <w:rPr>
      <w:rFonts w:eastAsia="仿宋_GB2312"/>
      <w:sz w:val="32"/>
      <w:szCs w:val="32"/>
    </w:rPr>
  </w:style>
  <w:style w:type="character" w:customStyle="1" w:styleId="22">
    <w:name w:val="正文文本 Char1"/>
    <w:basedOn w:val="15"/>
    <w:semiHidden/>
    <w:qFormat/>
    <w:uiPriority w:val="99"/>
  </w:style>
  <w:style w:type="character" w:customStyle="1" w:styleId="23">
    <w:name w:val="标题 3 Char"/>
    <w:basedOn w:val="15"/>
    <w:link w:val="5"/>
    <w:semiHidden/>
    <w:qFormat/>
    <w:uiPriority w:val="9"/>
    <w:rPr>
      <w:b/>
      <w:bCs/>
      <w:sz w:val="32"/>
      <w:szCs w:val="32"/>
    </w:rPr>
  </w:style>
  <w:style w:type="character" w:customStyle="1" w:styleId="24">
    <w:name w:val="标题 1 Char"/>
    <w:basedOn w:val="15"/>
    <w:link w:val="3"/>
    <w:qFormat/>
    <w:uiPriority w:val="0"/>
    <w:rPr>
      <w:rFonts w:ascii="宋体" w:hAnsi="宋体" w:eastAsia="宋体" w:cs="Times New Roman"/>
      <w:b/>
      <w:kern w:val="44"/>
      <w:sz w:val="48"/>
      <w:szCs w:val="48"/>
      <w:lang w:val="zh-CN" w:eastAsia="zh-CN"/>
    </w:rPr>
  </w:style>
  <w:style w:type="character" w:customStyle="1" w:styleId="25">
    <w:name w:val="页眉 Char"/>
    <w:basedOn w:val="15"/>
    <w:link w:val="9"/>
    <w:qFormat/>
    <w:uiPriority w:val="99"/>
    <w:rPr>
      <w:sz w:val="18"/>
      <w:szCs w:val="18"/>
    </w:rPr>
  </w:style>
  <w:style w:type="character" w:customStyle="1" w:styleId="26">
    <w:name w:val="页脚 Char"/>
    <w:basedOn w:val="15"/>
    <w:link w:val="8"/>
    <w:qFormat/>
    <w:uiPriority w:val="99"/>
    <w:rPr>
      <w:sz w:val="18"/>
      <w:szCs w:val="18"/>
    </w:rPr>
  </w:style>
  <w:style w:type="paragraph" w:customStyle="1" w:styleId="27">
    <w:name w:val="样式1"/>
    <w:basedOn w:val="1"/>
    <w:qFormat/>
    <w:uiPriority w:val="0"/>
    <w:rPr>
      <w:rFonts w:eastAsia="仿宋_GB2312"/>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8751AEA-7265-48E5-B589-EA20DA67D886}">
  <ds:schemaRefs/>
</ds:datastoreItem>
</file>

<file path=docProps/app.xml><?xml version="1.0" encoding="utf-8"?>
<Properties xmlns="http://schemas.openxmlformats.org/officeDocument/2006/extended-properties" xmlns:vt="http://schemas.openxmlformats.org/officeDocument/2006/docPropsVTypes">
  <Template>Normal</Template>
  <Pages>68</Pages>
  <Words>5328</Words>
  <Characters>30375</Characters>
  <Lines>253</Lines>
  <Paragraphs>71</Paragraphs>
  <TotalTime>1</TotalTime>
  <ScaleCrop>false</ScaleCrop>
  <LinksUpToDate>false</LinksUpToDate>
  <CharactersWithSpaces>35632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2021-01-26T02:00:00Z</dcterms:created>
  <dc:creator>zhzhg</dc:creator>
  <cp:lastModifiedBy>Administrator</cp:lastModifiedBy>
  <cp:lastPrinted>2022-02-25T01:39:00Z</cp:lastPrinted>
  <dcterms:modified xsi:type="dcterms:W3CDTF">2022-03-09T03:26:17Z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E959022CAAC24F1B904D8D1FF20852E9</vt:lpwstr>
  </property>
</Properties>
</file>